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1DF51" w14:textId="77777777" w:rsidR="0031561E" w:rsidRDefault="0031561E" w:rsidP="002E44DC">
      <w:pPr>
        <w:spacing w:line="276" w:lineRule="auto"/>
        <w:jc w:val="center"/>
        <w:rPr>
          <w:rFonts w:ascii="Verdana" w:hAnsi="Verdana"/>
          <w:b/>
          <w:sz w:val="28"/>
          <w:szCs w:val="28"/>
          <w:lang w:val="fr-CA"/>
        </w:rPr>
      </w:pPr>
    </w:p>
    <w:p w14:paraId="4D77079B" w14:textId="77777777" w:rsidR="0031561E" w:rsidRDefault="0031561E" w:rsidP="002E44DC">
      <w:pPr>
        <w:spacing w:line="276" w:lineRule="auto"/>
        <w:jc w:val="center"/>
        <w:rPr>
          <w:rFonts w:ascii="Verdana" w:hAnsi="Verdana"/>
          <w:b/>
          <w:sz w:val="28"/>
          <w:szCs w:val="28"/>
          <w:lang w:val="fr-CA"/>
        </w:rPr>
      </w:pPr>
    </w:p>
    <w:p w14:paraId="0DF23B31" w14:textId="35710FC7" w:rsidR="002E44DC" w:rsidRPr="007F484E" w:rsidRDefault="0065131D" w:rsidP="002E44DC">
      <w:pPr>
        <w:spacing w:line="276" w:lineRule="auto"/>
        <w:jc w:val="center"/>
        <w:rPr>
          <w:rFonts w:ascii="Verdana" w:hAnsi="Verdana"/>
          <w:b/>
          <w:sz w:val="28"/>
          <w:szCs w:val="28"/>
          <w:lang w:val="fr-CA"/>
        </w:rPr>
      </w:pPr>
      <w:r w:rsidRPr="007F484E">
        <w:rPr>
          <w:rFonts w:ascii="Verdana" w:hAnsi="Verdana"/>
          <w:b/>
          <w:sz w:val="28"/>
          <w:szCs w:val="28"/>
          <w:lang w:val="fr-CA"/>
        </w:rPr>
        <w:t>Protocole de gestion de la COVID-19 dans les écoles</w:t>
      </w:r>
      <w:r w:rsidR="007F484E" w:rsidRPr="007F484E">
        <w:rPr>
          <w:rFonts w:ascii="Verdana" w:hAnsi="Verdana"/>
          <w:b/>
          <w:sz w:val="28"/>
          <w:szCs w:val="28"/>
          <w:lang w:val="fr-CA"/>
        </w:rPr>
        <w:br/>
      </w:r>
      <w:r w:rsidR="002E44DC" w:rsidRPr="007F484E">
        <w:rPr>
          <w:rFonts w:ascii="Verdana" w:hAnsi="Verdana"/>
          <w:b/>
          <w:sz w:val="28"/>
          <w:szCs w:val="28"/>
          <w:lang w:val="fr-CA"/>
        </w:rPr>
        <w:t xml:space="preserve">Mise à jour </w:t>
      </w:r>
      <w:r w:rsidR="007F484E" w:rsidRPr="007F484E">
        <w:rPr>
          <w:rFonts w:ascii="Verdana" w:hAnsi="Verdana"/>
          <w:b/>
          <w:sz w:val="28"/>
          <w:szCs w:val="28"/>
          <w:lang w:val="fr-CA"/>
        </w:rPr>
        <w:t xml:space="preserve">du </w:t>
      </w:r>
      <w:r w:rsidR="0031561E">
        <w:rPr>
          <w:rFonts w:ascii="Verdana" w:hAnsi="Verdana"/>
          <w:b/>
          <w:sz w:val="28"/>
          <w:szCs w:val="28"/>
          <w:lang w:val="fr-CA"/>
        </w:rPr>
        <w:t>3 septembre</w:t>
      </w:r>
      <w:r w:rsidR="002E44DC" w:rsidRPr="007F484E">
        <w:rPr>
          <w:rFonts w:ascii="Verdana" w:hAnsi="Verdana"/>
          <w:b/>
          <w:sz w:val="28"/>
          <w:szCs w:val="28"/>
          <w:lang w:val="fr-CA"/>
        </w:rPr>
        <w:t xml:space="preserve"> 202</w:t>
      </w:r>
      <w:r w:rsidR="00D42267" w:rsidRPr="007F484E">
        <w:rPr>
          <w:rFonts w:ascii="Verdana" w:hAnsi="Verdana"/>
          <w:b/>
          <w:sz w:val="28"/>
          <w:szCs w:val="28"/>
          <w:lang w:val="fr-CA"/>
        </w:rPr>
        <w:t>1</w:t>
      </w:r>
    </w:p>
    <w:p w14:paraId="20D57F60" w14:textId="77777777" w:rsidR="002E44DC" w:rsidRPr="004B797C" w:rsidRDefault="002E44DC" w:rsidP="002E44DC">
      <w:pPr>
        <w:spacing w:line="276" w:lineRule="auto"/>
        <w:jc w:val="center"/>
        <w:rPr>
          <w:rFonts w:ascii="Verdana" w:hAnsi="Verdana"/>
          <w:b/>
          <w:sz w:val="20"/>
          <w:szCs w:val="20"/>
          <w:lang w:val="fr-CA"/>
        </w:rPr>
      </w:pPr>
    </w:p>
    <w:p w14:paraId="7DC4CA44" w14:textId="537A9F58" w:rsidR="007F484E" w:rsidRPr="00665364" w:rsidRDefault="007F484E" w:rsidP="007F484E">
      <w:pPr>
        <w:spacing w:after="120"/>
        <w:rPr>
          <w:rFonts w:ascii="Verdana" w:eastAsia="Calibri" w:hAnsi="Verdana"/>
          <w:b/>
          <w:bCs/>
          <w:u w:val="single"/>
        </w:rPr>
      </w:pPr>
      <w:proofErr w:type="spellStart"/>
      <w:r w:rsidRPr="00665364">
        <w:rPr>
          <w:rFonts w:ascii="Verdana" w:eastAsia="Calibri" w:hAnsi="Verdana"/>
          <w:b/>
          <w:bCs/>
          <w:u w:val="single"/>
        </w:rPr>
        <w:t>Définitions</w:t>
      </w:r>
      <w:proofErr w:type="spellEnd"/>
      <w:r w:rsidRPr="00665364">
        <w:rPr>
          <w:rFonts w:ascii="Verdana" w:eastAsia="Calibri" w:hAnsi="Verdana"/>
          <w:b/>
          <w:bCs/>
          <w:u w:val="single"/>
          <w:vertAlign w:val="superscript"/>
        </w:rPr>
        <w:footnoteReference w:id="1"/>
      </w:r>
    </w:p>
    <w:p w14:paraId="01908247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b/>
          <w:bCs/>
          <w:lang w:val="fr-CA"/>
        </w:rPr>
      </w:pPr>
      <w:r w:rsidRPr="004D7C7A">
        <w:rPr>
          <w:rFonts w:ascii="Verdana" w:eastAsia="Calibri" w:hAnsi="Verdana"/>
          <w:b/>
          <w:bCs/>
          <w:lang w:val="fr-CA"/>
        </w:rPr>
        <w:t>Un contact étroit :</w:t>
      </w:r>
      <w:r w:rsidRPr="004D7C7A">
        <w:rPr>
          <w:rFonts w:ascii="Verdana" w:eastAsia="Calibri" w:hAnsi="Verdana"/>
          <w:lang w:val="fr-CA"/>
        </w:rPr>
        <w:t xml:space="preserve"> s’entend d’une personne qui a eu un risque élevé d’exposition à un cas confirmé ou probable durant sa période de transmissibilité.</w:t>
      </w:r>
      <w:r w:rsidRPr="004D7C7A">
        <w:rPr>
          <w:rFonts w:ascii="Verdana" w:eastAsia="Calibri" w:hAnsi="Verdana"/>
          <w:b/>
          <w:bCs/>
          <w:lang w:val="fr-CA"/>
        </w:rPr>
        <w:t xml:space="preserve"> </w:t>
      </w:r>
    </w:p>
    <w:p w14:paraId="1FE27CBE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color w:val="0563C1"/>
          <w:u w:val="single"/>
          <w:lang w:val="fr-CA"/>
        </w:rPr>
      </w:pPr>
      <w:r w:rsidRPr="004D7C7A">
        <w:rPr>
          <w:rFonts w:ascii="Verdana" w:eastAsia="Calibri" w:hAnsi="Verdana"/>
          <w:b/>
          <w:bCs/>
          <w:lang w:val="fr-CA"/>
        </w:rPr>
        <w:t>Cas probable :</w:t>
      </w:r>
      <w:r w:rsidRPr="004D7C7A">
        <w:rPr>
          <w:rFonts w:ascii="Verdana" w:eastAsia="Calibri" w:hAnsi="Verdana"/>
          <w:lang w:val="fr-CA"/>
        </w:rPr>
        <w:t xml:space="preserve"> Une personne </w:t>
      </w:r>
      <w:r w:rsidRPr="004D7C7A">
        <w:rPr>
          <w:rFonts w:ascii="Verdana" w:eastAsia="Calibri" w:hAnsi="Verdana"/>
          <w:b/>
          <w:lang w:val="fr-CA"/>
        </w:rPr>
        <w:t>qui</w:t>
      </w:r>
      <w:r w:rsidRPr="004D7C7A">
        <w:rPr>
          <w:rFonts w:ascii="Verdana" w:eastAsia="Calibri" w:hAnsi="Verdana"/>
          <w:lang w:val="fr-CA"/>
        </w:rPr>
        <w:t xml:space="preserve"> présente des </w:t>
      </w:r>
      <w:hyperlink r:id="rId7" w:history="1">
        <w:r w:rsidRPr="004D7C7A">
          <w:rPr>
            <w:rFonts w:ascii="Verdana" w:eastAsia="Calibri" w:hAnsi="Verdana"/>
            <w:color w:val="0563C1"/>
            <w:u w:val="single"/>
            <w:lang w:val="fr-CA"/>
          </w:rPr>
          <w:t>symptômes compatibles avec la COVID-19</w:t>
        </w:r>
      </w:hyperlink>
      <w:r w:rsidRPr="004D7C7A">
        <w:rPr>
          <w:rFonts w:ascii="Verdana" w:eastAsia="Calibri" w:hAnsi="Verdana"/>
          <w:color w:val="0563C1"/>
          <w:u w:val="single"/>
          <w:lang w:val="fr-CA"/>
        </w:rPr>
        <w:t>.</w:t>
      </w:r>
    </w:p>
    <w:p w14:paraId="4ED8392D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color w:val="0563C1"/>
          <w:u w:val="single"/>
          <w:lang w:val="fr-CA"/>
        </w:rPr>
      </w:pPr>
      <w:r w:rsidRPr="004D7C7A">
        <w:rPr>
          <w:rFonts w:ascii="Verdana" w:eastAsia="Calibri" w:hAnsi="Verdana" w:cs="Calibri"/>
          <w:b/>
          <w:bCs/>
          <w:color w:val="000000"/>
          <w:lang w:val="fr-CA" w:eastAsia="fr-CA"/>
        </w:rPr>
        <w:t xml:space="preserve">Cas présumé confirmé : </w:t>
      </w:r>
      <w:r w:rsidRPr="004D7C7A">
        <w:rPr>
          <w:rFonts w:ascii="Verdana" w:eastAsia="Calibri" w:hAnsi="Verdana" w:cs="Calibri"/>
          <w:color w:val="000000"/>
          <w:lang w:val="fr-CA" w:eastAsia="fr-CA"/>
        </w:rPr>
        <w:t>Personne dont l’infection au coronavirus (SRAS-CoV-2) causant la COVID-19 a été confirmée en laboratoire.</w:t>
      </w:r>
    </w:p>
    <w:p w14:paraId="58164282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lang w:val="fr-CA"/>
        </w:rPr>
      </w:pPr>
      <w:r w:rsidRPr="004D7C7A">
        <w:rPr>
          <w:rFonts w:ascii="Verdana" w:eastAsia="Calibri" w:hAnsi="Verdana"/>
          <w:b/>
          <w:bCs/>
          <w:lang w:val="fr-CA"/>
        </w:rPr>
        <w:t>Éclosion :</w:t>
      </w:r>
      <w:r w:rsidRPr="004D7C7A">
        <w:rPr>
          <w:rFonts w:ascii="Verdana" w:eastAsia="Calibri" w:hAnsi="Verdana"/>
          <w:lang w:val="fr-CA"/>
        </w:rPr>
        <w:t xml:space="preserve"> se définie dans une école comme suit : au moins deux cas de COVID-19 confirmés en laboratoire dans une période de 14 jours parmi les élèves et/ou le personnel, avec un lien épidémiologique, et lorsqu’on peut présumer de façon raisonnable qu’au moins un cas a contracté l’infection à l’école (y compris dans les transports scolaires et les services de garde d’enfants avant et après l’école).</w:t>
      </w:r>
    </w:p>
    <w:p w14:paraId="69025E93" w14:textId="77777777" w:rsidR="007F484E" w:rsidRPr="00665364" w:rsidRDefault="007F484E" w:rsidP="007F484E">
      <w:pPr>
        <w:spacing w:after="120"/>
        <w:rPr>
          <w:rFonts w:ascii="Verdana" w:eastAsia="Calibri" w:hAnsi="Verdana"/>
          <w:b/>
          <w:bCs/>
          <w:u w:val="single"/>
        </w:rPr>
      </w:pPr>
      <w:r w:rsidRPr="00665364">
        <w:rPr>
          <w:rFonts w:ascii="Verdana" w:eastAsia="Calibri" w:hAnsi="Verdana"/>
          <w:b/>
          <w:bCs/>
          <w:u w:val="single"/>
        </w:rPr>
        <w:t xml:space="preserve">Fermeture des </w:t>
      </w:r>
      <w:proofErr w:type="spellStart"/>
      <w:r w:rsidRPr="00665364">
        <w:rPr>
          <w:rFonts w:ascii="Verdana" w:eastAsia="Calibri" w:hAnsi="Verdana"/>
          <w:b/>
          <w:bCs/>
          <w:u w:val="single"/>
        </w:rPr>
        <w:t>cohortes</w:t>
      </w:r>
      <w:proofErr w:type="spellEnd"/>
    </w:p>
    <w:p w14:paraId="1AF31614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 xml:space="preserve">Les bureaux de santé publique locaux (BSP) locaux déterminent s’il faut renvoyer une personne (élèves, membres du personnel) ou des cohortes à la maison. Ce sont eux qui décident quand les personnes ou les cohortes peuvent retourner à l’école. </w:t>
      </w:r>
    </w:p>
    <w:p w14:paraId="7AA2CD96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Les BSP peuvent conférer aux directions d’école le pouvoir discrétionnaire de renvoyer à la maison des personnes ou des cohortes pour qu’ils puissent être en auto-isolement en attendant les résultats de l’enquête du BSP.</w:t>
      </w:r>
    </w:p>
    <w:p w14:paraId="52B5E8E7" w14:textId="77777777" w:rsidR="007F484E" w:rsidRPr="004D7C7A" w:rsidRDefault="007F484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  <w:r w:rsidRPr="004D7C7A">
        <w:rPr>
          <w:rFonts w:ascii="Verdana" w:eastAsia="Calibri" w:hAnsi="Verdana"/>
          <w:b/>
          <w:bCs/>
          <w:u w:val="single"/>
          <w:lang w:val="fr-CA"/>
        </w:rPr>
        <w:t>Protocoles pour la fermeture des écoles</w:t>
      </w:r>
    </w:p>
    <w:p w14:paraId="27B4D809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 xml:space="preserve">Les bureaux de santé publique locaux (BSP) sont chargés de déterminer si une éclosion est avérée, de déclarer une éclosion et de fournir des directives sur les mesures à mettre en place pour lutter contre les éclosions. </w:t>
      </w:r>
    </w:p>
    <w:p w14:paraId="5FD09D3F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Le bureau de santé publique local collaborera avec l’école dans la gestion des éclosions.</w:t>
      </w:r>
    </w:p>
    <w:p w14:paraId="5CEB276E" w14:textId="59075C42" w:rsidR="007F484E" w:rsidRDefault="007F484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</w:p>
    <w:p w14:paraId="0A6B3668" w14:textId="4E12F2DF" w:rsidR="0031561E" w:rsidRDefault="0031561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</w:p>
    <w:p w14:paraId="612D5AC4" w14:textId="77DF4BD5" w:rsidR="007F484E" w:rsidRPr="00665364" w:rsidRDefault="007F484E" w:rsidP="007F484E">
      <w:pPr>
        <w:spacing w:after="120"/>
        <w:rPr>
          <w:rFonts w:ascii="Verdana" w:eastAsia="Calibri" w:hAnsi="Verdana"/>
          <w:b/>
          <w:bCs/>
          <w:u w:val="single"/>
        </w:rPr>
      </w:pPr>
      <w:proofErr w:type="spellStart"/>
      <w:r w:rsidRPr="00665364">
        <w:rPr>
          <w:rFonts w:ascii="Verdana" w:eastAsia="Calibri" w:hAnsi="Verdana"/>
          <w:b/>
          <w:bCs/>
          <w:u w:val="single"/>
        </w:rPr>
        <w:lastRenderedPageBreak/>
        <w:t>Réouverture</w:t>
      </w:r>
      <w:proofErr w:type="spellEnd"/>
      <w:r w:rsidRPr="00665364">
        <w:rPr>
          <w:rFonts w:ascii="Verdana" w:eastAsia="Calibri" w:hAnsi="Verdana"/>
          <w:b/>
          <w:bCs/>
          <w:u w:val="single"/>
        </w:rPr>
        <w:t xml:space="preserve"> des écoles</w:t>
      </w:r>
    </w:p>
    <w:p w14:paraId="24000C16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La déclaration de fin de l’éclosion est effectuée par le bureau de santé publique local.</w:t>
      </w:r>
    </w:p>
    <w:p w14:paraId="30DC7DA3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Les directives sur les conditions dans lesquelles les cohortes peuvent retourner à l’école sont fournies par le bureau de santé publique local.</w:t>
      </w:r>
    </w:p>
    <w:p w14:paraId="15CCA14C" w14:textId="77777777" w:rsidR="007F484E" w:rsidRPr="004D7C7A" w:rsidRDefault="007F484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  <w:r w:rsidRPr="004D7C7A">
        <w:rPr>
          <w:rFonts w:ascii="Verdana" w:eastAsia="Calibri" w:hAnsi="Verdana"/>
          <w:b/>
          <w:bCs/>
          <w:u w:val="single"/>
          <w:lang w:val="fr-CA"/>
        </w:rPr>
        <w:t>Auto-dépistage quotidien des symptômes de la COVID-19</w:t>
      </w:r>
    </w:p>
    <w:p w14:paraId="6654943C" w14:textId="22062BF6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color w:val="1A1A1A"/>
          <w:lang w:val="fr-CA"/>
        </w:rPr>
      </w:pPr>
      <w:r w:rsidRPr="004D7C7A">
        <w:rPr>
          <w:rFonts w:ascii="Verdana" w:eastAsia="Calibri" w:hAnsi="Verdana"/>
          <w:color w:val="1A1A1A"/>
          <w:lang w:val="fr-CA"/>
        </w:rPr>
        <w:t>Les parents, tuteurs ou tutrices doivent vérifier la présence de symptômes de la COVID-19 chez leurs enfants quotidiennement avant de les envoyer à l'école, au moyen de l'</w:t>
      </w:r>
      <w:hyperlink r:id="rId8" w:history="1">
        <w:r w:rsidRPr="004D7C7A">
          <w:rPr>
            <w:rFonts w:ascii="Verdana" w:eastAsia="Calibri" w:hAnsi="Verdana"/>
            <w:color w:val="0563C1"/>
            <w:u w:val="single"/>
            <w:lang w:val="fr-CA"/>
          </w:rPr>
          <w:t>outil de dépistage de la COVID-19 pour les écoles et les services de garde d'enfants ou</w:t>
        </w:r>
      </w:hyperlink>
      <w:r w:rsidRPr="004D7C7A">
        <w:rPr>
          <w:rFonts w:ascii="Verdana" w:eastAsia="Calibri" w:hAnsi="Verdana"/>
          <w:lang w:val="fr-CA"/>
        </w:rPr>
        <w:t xml:space="preserve"> </w:t>
      </w:r>
      <w:r w:rsidRPr="004D7C7A">
        <w:rPr>
          <w:rFonts w:ascii="Verdana" w:eastAsia="Calibri" w:hAnsi="Verdana"/>
          <w:color w:val="1A1A1A"/>
          <w:lang w:val="fr-CA"/>
        </w:rPr>
        <w:t xml:space="preserve">du </w:t>
      </w:r>
      <w:hyperlink r:id="rId9" w:history="1">
        <w:r w:rsidRPr="004D7C7A">
          <w:rPr>
            <w:rFonts w:ascii="Verdana" w:eastAsia="Calibri" w:hAnsi="Verdana"/>
            <w:color w:val="0563C1"/>
            <w:u w:val="single"/>
            <w:lang w:val="fr-CA"/>
          </w:rPr>
          <w:t xml:space="preserve">passeport santé </w:t>
        </w:r>
        <w:proofErr w:type="spellStart"/>
        <w:r w:rsidRPr="004D7C7A">
          <w:rPr>
            <w:rFonts w:ascii="Verdana" w:eastAsia="Calibri" w:hAnsi="Verdana"/>
            <w:color w:val="0563C1"/>
            <w:u w:val="single"/>
            <w:lang w:val="fr-CA"/>
          </w:rPr>
          <w:t>Viamonde</w:t>
        </w:r>
        <w:proofErr w:type="spellEnd"/>
      </w:hyperlink>
      <w:r w:rsidRPr="004D7C7A">
        <w:rPr>
          <w:rFonts w:ascii="Verdana" w:eastAsia="Calibri" w:hAnsi="Verdana"/>
          <w:color w:val="1A1A1A"/>
          <w:lang w:val="fr-CA"/>
        </w:rPr>
        <w:t>.</w:t>
      </w:r>
    </w:p>
    <w:p w14:paraId="55C7A168" w14:textId="0302498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lang w:val="fr-CA"/>
        </w:rPr>
      </w:pPr>
      <w:r w:rsidRPr="004D7C7A">
        <w:rPr>
          <w:rFonts w:ascii="Verdana" w:eastAsia="Calibri" w:hAnsi="Verdana"/>
          <w:color w:val="1A1A1A"/>
          <w:lang w:val="fr-CA"/>
        </w:rPr>
        <w:t>Les élèves, le personnel scolaire et les visiteurs sont tenus de procéder à un auto-dépistage quotidien des symptômes de la COVID-19 avant de se rendre à l'école ou à leur lieu de travail. Pour ce faire, ils peuvent utiliser, l'</w:t>
      </w:r>
      <w:hyperlink r:id="rId10" w:history="1">
        <w:r w:rsidRPr="004D7C7A">
          <w:rPr>
            <w:rFonts w:ascii="Verdana" w:eastAsia="Calibri" w:hAnsi="Verdana"/>
            <w:color w:val="0563C1"/>
            <w:u w:val="single"/>
            <w:lang w:val="fr-CA"/>
          </w:rPr>
          <w:t>outil de dépistage de la COVID-19 pour les écoles et les services de garde d'enfants ou</w:t>
        </w:r>
      </w:hyperlink>
      <w:r w:rsidRPr="004D7C7A">
        <w:rPr>
          <w:rFonts w:ascii="Verdana" w:eastAsia="Calibri" w:hAnsi="Verdana"/>
          <w:lang w:val="fr-CA"/>
        </w:rPr>
        <w:t xml:space="preserve"> </w:t>
      </w:r>
      <w:r w:rsidRPr="004D7C7A">
        <w:rPr>
          <w:rFonts w:ascii="Verdana" w:eastAsia="Calibri" w:hAnsi="Verdana"/>
          <w:color w:val="1A1A1A"/>
          <w:lang w:val="fr-CA"/>
        </w:rPr>
        <w:t xml:space="preserve">du </w:t>
      </w:r>
      <w:hyperlink r:id="rId11" w:history="1">
        <w:r w:rsidRPr="004D7C7A">
          <w:rPr>
            <w:rFonts w:ascii="Verdana" w:eastAsia="Calibri" w:hAnsi="Verdana"/>
            <w:color w:val="0563C1"/>
            <w:u w:val="single"/>
            <w:lang w:val="fr-CA"/>
          </w:rPr>
          <w:t xml:space="preserve">passeport santé </w:t>
        </w:r>
        <w:proofErr w:type="spellStart"/>
        <w:r w:rsidRPr="004D7C7A">
          <w:rPr>
            <w:rFonts w:ascii="Verdana" w:eastAsia="Calibri" w:hAnsi="Verdana"/>
            <w:color w:val="0563C1"/>
            <w:u w:val="single"/>
            <w:lang w:val="fr-CA"/>
          </w:rPr>
          <w:t>Viamonde</w:t>
        </w:r>
        <w:proofErr w:type="spellEnd"/>
      </w:hyperlink>
      <w:r w:rsidRPr="004D7C7A">
        <w:rPr>
          <w:rFonts w:ascii="Verdana" w:eastAsia="Calibri" w:hAnsi="Verdana"/>
          <w:color w:val="1A1A1A"/>
          <w:lang w:val="fr-CA"/>
        </w:rPr>
        <w:t>.</w:t>
      </w:r>
    </w:p>
    <w:p w14:paraId="6687E3ED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/>
          <w:lang w:val="fr-CA"/>
        </w:rPr>
      </w:pPr>
      <w:r w:rsidRPr="004D7C7A">
        <w:rPr>
          <w:rFonts w:ascii="Verdana" w:eastAsia="Calibri" w:hAnsi="Verdana"/>
          <w:color w:val="1A1A1A"/>
          <w:lang w:val="fr-CA"/>
        </w:rPr>
        <w:t xml:space="preserve">Si une personne (élève ou membre du personnel) présente des symptômes et que les résultats de son auto-dépistage indique qu'elle devrait rester à la maison, elle doit se faire tester et suivre les recommandations du bureau de santé publique local. </w:t>
      </w:r>
    </w:p>
    <w:p w14:paraId="063FF070" w14:textId="77777777" w:rsidR="007F484E" w:rsidRPr="004D7C7A" w:rsidRDefault="007F484E" w:rsidP="007F484E">
      <w:pPr>
        <w:spacing w:after="120"/>
        <w:ind w:left="567"/>
        <w:rPr>
          <w:rFonts w:ascii="Verdana" w:eastAsia="Calibri" w:hAnsi="Verdana"/>
          <w:b/>
          <w:bCs/>
          <w:i/>
          <w:iCs/>
          <w:lang w:val="fr-CA"/>
        </w:rPr>
      </w:pPr>
      <w:r w:rsidRPr="004D7C7A">
        <w:rPr>
          <w:rFonts w:ascii="Verdana" w:eastAsia="Calibri" w:hAnsi="Verdana"/>
          <w:b/>
          <w:bCs/>
          <w:i/>
          <w:iCs/>
          <w:lang w:val="fr-CA"/>
        </w:rPr>
        <w:t>Note : Auto-dépistage des symptômes de la covid19 et vaccination contre la COVID-19 :</w:t>
      </w:r>
    </w:p>
    <w:p w14:paraId="5DF7BD65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993"/>
        <w:contextualSpacing/>
        <w:rPr>
          <w:rFonts w:ascii="Verdana" w:eastAsia="Calibri" w:hAnsi="Verdana"/>
          <w:lang w:val="fr-CA"/>
        </w:rPr>
      </w:pPr>
      <w:r w:rsidRPr="004D7C7A">
        <w:rPr>
          <w:rFonts w:ascii="Verdana" w:eastAsia="Calibri" w:hAnsi="Verdana"/>
          <w:i/>
          <w:iCs/>
          <w:color w:val="1A1A1A"/>
          <w:lang w:val="fr-CA"/>
        </w:rPr>
        <w:t>Si le membre du personnel, l’élève ou le visiteur s’est fait vacciner contre la COVID-19 au cours des dernières 48 heures et qu’il ressent un léger mal de tête, des douleurs musculaires, ou de la fatigue extrême qui a commencé après la vaccination et aucun autre symptôme de la COVID-19, il doit répondre « non » à l’outil de dépistage de la COVID-19 et peut se rendre à l’école ou son lieu de travail si son état de santé le permet.</w:t>
      </w:r>
    </w:p>
    <w:p w14:paraId="0429BB30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993"/>
        <w:contextualSpacing/>
        <w:rPr>
          <w:rFonts w:ascii="Verdana" w:eastAsia="Calibri" w:hAnsi="Verdana"/>
          <w:i/>
          <w:iCs/>
          <w:color w:val="1A1A1A"/>
          <w:lang w:val="fr-CA"/>
        </w:rPr>
      </w:pPr>
      <w:r w:rsidRPr="004D7C7A">
        <w:rPr>
          <w:rFonts w:ascii="Verdana" w:eastAsia="Calibri" w:hAnsi="Verdana"/>
          <w:i/>
          <w:iCs/>
          <w:color w:val="1A1A1A"/>
          <w:lang w:val="fr-CA"/>
        </w:rPr>
        <w:t>Si le membre du personnel ou l'élève vit dans un foyer où une personne qui a été vaccinée contre la COVID-19 au cours des 48 dernières heures ressent de légers maux de tête, de la fatigue, des douleurs musculaires qui n'ont commencé qu'après la vaccination, et aucun autre symptôme, il doit répondre « non » à l'outil de dépistage de la COVID-19 et il n'est pas tenu de s'auto-isoler (rester à la maison).</w:t>
      </w:r>
    </w:p>
    <w:p w14:paraId="4FFEDEB4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993"/>
        <w:contextualSpacing/>
        <w:rPr>
          <w:rFonts w:ascii="Verdana" w:eastAsia="Calibri" w:hAnsi="Verdana"/>
          <w:i/>
          <w:iCs/>
          <w:color w:val="1A1A1A"/>
          <w:lang w:val="fr-CA"/>
        </w:rPr>
      </w:pPr>
      <w:r w:rsidRPr="004D7C7A">
        <w:rPr>
          <w:rFonts w:ascii="Verdana" w:eastAsia="Calibri" w:hAnsi="Verdana"/>
          <w:i/>
          <w:iCs/>
          <w:color w:val="1A1A1A"/>
          <w:lang w:val="fr-CA"/>
        </w:rPr>
        <w:t>Si les légers maux de tête, la fatigue, les douleurs musculaires s'aggravent, persistent au-delà de 48 heures ou si la personne présente d'autres symptômes, elle doit quitter immédiatement l'école pour s'isoler et subir un test de dépistage de la COVID-19.</w:t>
      </w:r>
    </w:p>
    <w:p w14:paraId="01591A9D" w14:textId="77777777" w:rsidR="0031561E" w:rsidRDefault="0031561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</w:p>
    <w:p w14:paraId="137A815F" w14:textId="77777777" w:rsidR="0031561E" w:rsidRDefault="0031561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</w:p>
    <w:p w14:paraId="7FB2770E" w14:textId="5DC1D980" w:rsidR="007F484E" w:rsidRPr="004D7C7A" w:rsidRDefault="007F484E" w:rsidP="007F484E">
      <w:pPr>
        <w:spacing w:after="120"/>
        <w:rPr>
          <w:rFonts w:ascii="Verdana" w:eastAsia="Calibri" w:hAnsi="Verdana"/>
          <w:b/>
          <w:bCs/>
          <w:u w:val="single"/>
          <w:lang w:val="fr-CA"/>
        </w:rPr>
      </w:pPr>
      <w:r w:rsidRPr="004D7C7A">
        <w:rPr>
          <w:rFonts w:ascii="Verdana" w:eastAsia="Calibri" w:hAnsi="Verdana"/>
          <w:b/>
          <w:bCs/>
          <w:u w:val="single"/>
          <w:lang w:val="fr-CA"/>
        </w:rPr>
        <w:lastRenderedPageBreak/>
        <w:t>Gestion des cas de COVID-19 dans les écoles</w:t>
      </w:r>
    </w:p>
    <w:p w14:paraId="7C8E41DA" w14:textId="77777777" w:rsidR="007F484E" w:rsidRPr="004D7C7A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val="fr-CA" w:eastAsia="fr-CA"/>
        </w:rPr>
      </w:pPr>
      <w:r w:rsidRPr="004D7C7A">
        <w:rPr>
          <w:rFonts w:ascii="Verdana" w:hAnsi="Verdana" w:cs="Calibri"/>
          <w:b/>
          <w:bCs/>
          <w:lang w:val="fr-CA" w:eastAsia="fr-CA"/>
        </w:rPr>
        <w:t>Si une personne tombe malade à l'école</w:t>
      </w:r>
    </w:p>
    <w:p w14:paraId="78814C71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Les mesures suivantes seront prises si une personne développe des symptômes de la COVID-19 à l'école :</w:t>
      </w:r>
    </w:p>
    <w:p w14:paraId="135E7BD2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L'école doit mettre la personne à l'écart des autres immédiatement, si possible dans une salle séparée, jusqu'à son retour à la maison.</w:t>
      </w:r>
    </w:p>
    <w:p w14:paraId="2AC0E901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L'école doit fournir un masque médical à la personne.</w:t>
      </w:r>
    </w:p>
    <w:p w14:paraId="45B78A4E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L'école doit continuer de surveiller les symptômes des membres du personnel et des autres élèves de la cohorte de la personne qui présente les symptômes.</w:t>
      </w:r>
    </w:p>
    <w:p w14:paraId="2D419BFE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L'école doit veiller à ce que la personne qui présente les symptômes respecte en tout temps les mesures de santé et sécurité.</w:t>
      </w:r>
    </w:p>
    <w:p w14:paraId="490A27F4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 xml:space="preserve"> La personne ne doit pas prendre l'autobus scolaire ni les transports publics.</w:t>
      </w:r>
    </w:p>
    <w:p w14:paraId="25AB9CD3" w14:textId="77777777" w:rsidR="007F484E" w:rsidRPr="004D7C7A" w:rsidRDefault="007F484E" w:rsidP="007F484E">
      <w:pPr>
        <w:spacing w:after="120"/>
        <w:ind w:left="1434"/>
        <w:contextualSpacing/>
        <w:rPr>
          <w:rFonts w:ascii="Verdana" w:hAnsi="Verdana" w:cs="Calibri"/>
          <w:lang w:val="fr-CA" w:eastAsia="fr-CA"/>
        </w:rPr>
      </w:pPr>
    </w:p>
    <w:p w14:paraId="43AC14AE" w14:textId="77777777" w:rsidR="007F484E" w:rsidRPr="004D7C7A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val="fr-CA" w:eastAsia="fr-CA"/>
        </w:rPr>
      </w:pPr>
      <w:r w:rsidRPr="004D7C7A">
        <w:rPr>
          <w:rFonts w:ascii="Verdana" w:hAnsi="Verdana" w:cs="Calibri"/>
          <w:b/>
          <w:bCs/>
          <w:lang w:val="fr-CA" w:eastAsia="fr-CA"/>
        </w:rPr>
        <w:t>Si votre enfant tombe malade à l'école</w:t>
      </w:r>
    </w:p>
    <w:p w14:paraId="3BA242BC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Si votre enfant présente des symptômes à l'école, il doit rentrer à la maison.</w:t>
      </w:r>
    </w:p>
    <w:p w14:paraId="5AE6F2DF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 xml:space="preserve">L'école communiquera avec vous et vous devrez vous organiser pour que votre enfant puisse rentrer à la maison, sans prendre les transports publics. </w:t>
      </w:r>
    </w:p>
    <w:p w14:paraId="69004746" w14:textId="77777777" w:rsidR="007F484E" w:rsidRPr="004D7C7A" w:rsidRDefault="007F484E" w:rsidP="007F484E">
      <w:pPr>
        <w:spacing w:after="120"/>
        <w:ind w:left="567"/>
        <w:contextualSpacing/>
        <w:rPr>
          <w:rFonts w:ascii="Verdana" w:hAnsi="Verdana" w:cs="Calibri"/>
          <w:lang w:val="fr-CA" w:eastAsia="fr-CA"/>
        </w:rPr>
      </w:pPr>
    </w:p>
    <w:p w14:paraId="4ABB48B5" w14:textId="77777777" w:rsidR="007F484E" w:rsidRPr="00665364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eastAsia="fr-CA"/>
        </w:rPr>
      </w:pPr>
      <w:r w:rsidRPr="00665364">
        <w:rPr>
          <w:rFonts w:ascii="Verdana" w:hAnsi="Verdana" w:cs="Calibri"/>
          <w:b/>
          <w:bCs/>
          <w:lang w:eastAsia="fr-CA"/>
        </w:rPr>
        <w:t>Test de la COVID-19</w:t>
      </w:r>
    </w:p>
    <w:p w14:paraId="0DE12066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Si votre enfant tombe malade à l'école, nous vous conseillons de consulter son fournisseur de soins de santé. Il pourrait recommander que votre enfant </w:t>
      </w:r>
      <w:hyperlink r:id="rId12" w:history="1">
        <w:r w:rsidRPr="004D7C7A">
          <w:rPr>
            <w:rFonts w:ascii="Verdana" w:eastAsia="Calibri" w:hAnsi="Verdana" w:cs="Open Sans"/>
            <w:color w:val="0066CC"/>
            <w:u w:val="single"/>
            <w:lang w:val="fr-CA"/>
          </w:rPr>
          <w:t>subisse un test de diagnostic de la </w:t>
        </w:r>
        <w:r w:rsidRPr="004D7C7A">
          <w:rPr>
            <w:rFonts w:ascii="Verdana" w:eastAsia="Calibri" w:hAnsi="Verdana" w:cs="Open Sans"/>
            <w:color w:val="0066CC"/>
            <w:lang w:val="fr-CA"/>
          </w:rPr>
          <w:t>COVID-19</w:t>
        </w:r>
      </w:hyperlink>
      <w:r w:rsidRPr="004D7C7A">
        <w:rPr>
          <w:rFonts w:ascii="Verdana" w:eastAsia="Calibri" w:hAnsi="Verdana" w:cs="Open Sans"/>
          <w:color w:val="1A1A1A"/>
          <w:lang w:val="fr-CA"/>
        </w:rPr>
        <w:t>. Si vous-même ou votre enfant avez subi ce test, il est facile </w:t>
      </w:r>
      <w:hyperlink r:id="rId13" w:history="1">
        <w:r w:rsidRPr="004D7C7A">
          <w:rPr>
            <w:rFonts w:ascii="Verdana" w:eastAsia="Calibri" w:hAnsi="Verdana" w:cs="Open Sans"/>
            <w:color w:val="0066CC"/>
            <w:u w:val="single"/>
            <w:lang w:val="fr-CA"/>
          </w:rPr>
          <w:t>d'accéder au résultat</w:t>
        </w:r>
      </w:hyperlink>
      <w:r w:rsidRPr="004D7C7A">
        <w:rPr>
          <w:rFonts w:ascii="Verdana" w:eastAsia="Calibri" w:hAnsi="Verdana" w:cs="Open Sans"/>
          <w:color w:val="1A1A1A"/>
          <w:lang w:val="fr-CA"/>
        </w:rPr>
        <w:t>.</w:t>
      </w:r>
    </w:p>
    <w:p w14:paraId="10A497F7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Si votre enfant ne subit pas de test de dépistage de la </w:t>
      </w:r>
      <w:r w:rsidRPr="004D7C7A">
        <w:rPr>
          <w:rFonts w:ascii="Verdana" w:eastAsia="Calibri" w:hAnsi="Verdana"/>
          <w:lang w:val="fr-CA"/>
        </w:rPr>
        <w:t>COVID-19</w:t>
      </w:r>
      <w:r w:rsidRPr="004D7C7A">
        <w:rPr>
          <w:rFonts w:ascii="Verdana" w:eastAsia="Calibri" w:hAnsi="Verdana" w:cs="Open Sans"/>
          <w:color w:val="1A1A1A"/>
          <w:lang w:val="fr-CA"/>
        </w:rPr>
        <w:t>, elle ou il devra rester à la maison pendant un minimum de 10 jours et jusqu'à ce que les symptômes aient disparu depuis au moins 24 heures.</w:t>
      </w:r>
    </w:p>
    <w:p w14:paraId="156686F8" w14:textId="77777777" w:rsidR="007F484E" w:rsidRPr="004D7C7A" w:rsidRDefault="007F484E" w:rsidP="007F484E">
      <w:pPr>
        <w:spacing w:after="120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</w:p>
    <w:p w14:paraId="1954A054" w14:textId="77777777" w:rsidR="007F484E" w:rsidRPr="00665364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eastAsia="fr-CA"/>
        </w:rPr>
      </w:pPr>
      <w:r w:rsidRPr="00665364">
        <w:rPr>
          <w:rFonts w:ascii="Verdana" w:hAnsi="Verdana" w:cs="Calibri"/>
          <w:b/>
          <w:bCs/>
          <w:lang w:eastAsia="fr-CA"/>
        </w:rPr>
        <w:t xml:space="preserve">Après un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résultat</w:t>
      </w:r>
      <w:proofErr w:type="spellEnd"/>
      <w:r w:rsidRPr="00665364">
        <w:rPr>
          <w:rFonts w:ascii="Verdana" w:hAnsi="Verdana" w:cs="Calibri"/>
          <w:b/>
          <w:bCs/>
          <w:lang w:eastAsia="fr-CA"/>
        </w:rPr>
        <w:t xml:space="preserve">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négatif</w:t>
      </w:r>
      <w:proofErr w:type="spellEnd"/>
    </w:p>
    <w:p w14:paraId="5E976DE3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Les élèves qui reçoivent un résultat négatif au test de dépistage de la </w:t>
      </w:r>
      <w:r w:rsidRPr="004D7C7A">
        <w:rPr>
          <w:rFonts w:ascii="Verdana" w:eastAsia="Calibri" w:hAnsi="Verdana"/>
          <w:lang w:val="fr-CA"/>
        </w:rPr>
        <w:t>COVID-19,</w:t>
      </w:r>
      <w:r w:rsidRPr="004D7C7A">
        <w:rPr>
          <w:rFonts w:ascii="Verdana" w:eastAsia="Calibri" w:hAnsi="Verdana" w:cs="Open Sans"/>
          <w:color w:val="1A1A1A"/>
          <w:lang w:val="fr-CA"/>
        </w:rPr>
        <w:t xml:space="preserve"> ou qui ont vu un fournisseur de soins de santé qui leur a diagnostiqué une maladie autre que la </w:t>
      </w:r>
      <w:r w:rsidRPr="004D7C7A">
        <w:rPr>
          <w:rFonts w:ascii="Verdana" w:eastAsia="Calibri" w:hAnsi="Verdana"/>
          <w:lang w:val="fr-CA"/>
        </w:rPr>
        <w:t>COVID-19</w:t>
      </w:r>
      <w:r w:rsidRPr="004D7C7A">
        <w:rPr>
          <w:rFonts w:ascii="Verdana" w:eastAsia="Calibri" w:hAnsi="Verdana" w:cs="Open Sans"/>
          <w:color w:val="1A1A1A"/>
          <w:lang w:val="fr-CA"/>
        </w:rPr>
        <w:t>, peuvent retourner à l'école dans les cas suivants :</w:t>
      </w:r>
    </w:p>
    <w:p w14:paraId="725F8038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proofErr w:type="gramStart"/>
      <w:r w:rsidRPr="004D7C7A">
        <w:rPr>
          <w:rFonts w:ascii="Verdana" w:hAnsi="Verdana" w:cs="Calibri"/>
          <w:lang w:val="fr-CA" w:eastAsia="fr-CA"/>
        </w:rPr>
        <w:t>ils</w:t>
      </w:r>
      <w:proofErr w:type="gramEnd"/>
      <w:r w:rsidRPr="004D7C7A">
        <w:rPr>
          <w:rFonts w:ascii="Verdana" w:hAnsi="Verdana" w:cs="Calibri"/>
          <w:lang w:val="fr-CA" w:eastAsia="fr-CA"/>
        </w:rPr>
        <w:t xml:space="preserve"> n'ont plus de fièvre depuis 24 heures</w:t>
      </w:r>
    </w:p>
    <w:p w14:paraId="54C6CD9E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proofErr w:type="gramStart"/>
      <w:r w:rsidRPr="004D7C7A">
        <w:rPr>
          <w:rFonts w:ascii="Verdana" w:hAnsi="Verdana" w:cs="Calibri"/>
          <w:lang w:val="fr-CA" w:eastAsia="fr-CA"/>
        </w:rPr>
        <w:t>ils</w:t>
      </w:r>
      <w:proofErr w:type="gramEnd"/>
      <w:r w:rsidRPr="004D7C7A">
        <w:rPr>
          <w:rFonts w:ascii="Verdana" w:hAnsi="Verdana" w:cs="Calibri"/>
          <w:lang w:val="fr-CA" w:eastAsia="fr-CA"/>
        </w:rPr>
        <w:t xml:space="preserve"> ne vomissent plus ou n'ont plus de diarrhée depuis 48 heures</w:t>
      </w:r>
    </w:p>
    <w:p w14:paraId="69CB082D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proofErr w:type="gramStart"/>
      <w:r w:rsidRPr="004D7C7A">
        <w:rPr>
          <w:rFonts w:ascii="Verdana" w:hAnsi="Verdana" w:cs="Calibri"/>
          <w:lang w:val="fr-CA" w:eastAsia="fr-CA"/>
        </w:rPr>
        <w:t>les</w:t>
      </w:r>
      <w:proofErr w:type="gramEnd"/>
      <w:r w:rsidRPr="004D7C7A">
        <w:rPr>
          <w:rFonts w:ascii="Verdana" w:hAnsi="Verdana" w:cs="Calibri"/>
          <w:lang w:val="fr-CA" w:eastAsia="fr-CA"/>
        </w:rPr>
        <w:t xml:space="preserve"> autres symptômes s'améliorent depuis au moins 24 heures</w:t>
      </w:r>
    </w:p>
    <w:p w14:paraId="2D05A820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proofErr w:type="gramStart"/>
      <w:r w:rsidRPr="004D7C7A">
        <w:rPr>
          <w:rFonts w:ascii="Verdana" w:hAnsi="Verdana" w:cs="Calibri"/>
          <w:lang w:val="fr-CA" w:eastAsia="fr-CA"/>
        </w:rPr>
        <w:t>on</w:t>
      </w:r>
      <w:proofErr w:type="gramEnd"/>
      <w:r w:rsidRPr="004D7C7A">
        <w:rPr>
          <w:rFonts w:ascii="Verdana" w:hAnsi="Verdana" w:cs="Calibri"/>
          <w:lang w:val="fr-CA" w:eastAsia="fr-CA"/>
        </w:rPr>
        <w:t xml:space="preserve"> ne leur a pas conseillé de s'auto-isoler</w:t>
      </w:r>
    </w:p>
    <w:p w14:paraId="4D0F9E2E" w14:textId="77777777" w:rsidR="007F484E" w:rsidRPr="004D7C7A" w:rsidRDefault="007F484E" w:rsidP="007F484E">
      <w:pPr>
        <w:numPr>
          <w:ilvl w:val="1"/>
          <w:numId w:val="15"/>
        </w:numPr>
        <w:spacing w:after="120" w:line="259" w:lineRule="auto"/>
        <w:ind w:left="1434" w:hanging="357"/>
        <w:contextualSpacing/>
        <w:rPr>
          <w:rFonts w:ascii="Verdana" w:hAnsi="Verdana" w:cs="Calibri"/>
          <w:lang w:val="fr-CA" w:eastAsia="fr-CA"/>
        </w:rPr>
      </w:pPr>
      <w:proofErr w:type="gramStart"/>
      <w:r w:rsidRPr="004D7C7A">
        <w:rPr>
          <w:rFonts w:ascii="Verdana" w:hAnsi="Verdana" w:cs="Calibri"/>
          <w:lang w:val="fr-CA" w:eastAsia="fr-CA"/>
        </w:rPr>
        <w:lastRenderedPageBreak/>
        <w:t>ils</w:t>
      </w:r>
      <w:proofErr w:type="gramEnd"/>
      <w:r w:rsidRPr="004D7C7A">
        <w:rPr>
          <w:rFonts w:ascii="Verdana" w:hAnsi="Verdana" w:cs="Calibri"/>
          <w:lang w:val="fr-CA" w:eastAsia="fr-CA"/>
        </w:rPr>
        <w:t xml:space="preserve"> n'ont eu aucun contact avec un cas confirmé de COVID-19</w:t>
      </w:r>
    </w:p>
    <w:p w14:paraId="6B341A48" w14:textId="77777777" w:rsidR="007F484E" w:rsidRPr="004D7C7A" w:rsidRDefault="007F484E" w:rsidP="007F484E">
      <w:pPr>
        <w:spacing w:after="120"/>
        <w:ind w:left="708"/>
        <w:rPr>
          <w:rFonts w:ascii="Verdana" w:hAnsi="Verdana" w:cs="Calibri"/>
          <w:lang w:val="fr-CA" w:eastAsia="fr-CA"/>
        </w:rPr>
      </w:pPr>
      <w:r w:rsidRPr="004D7C7A">
        <w:rPr>
          <w:rFonts w:ascii="Verdana" w:hAnsi="Verdana" w:cs="Calibri"/>
          <w:lang w:val="fr-CA" w:eastAsia="fr-CA"/>
        </w:rPr>
        <w:t>Il n'est pas nécessaire d'avoir un mot du médecin ou une preuve d'un résultat négatif au test pour que votre enfant puisse retourner à l'école.</w:t>
      </w:r>
    </w:p>
    <w:p w14:paraId="48E1389D" w14:textId="77777777" w:rsidR="007F484E" w:rsidRPr="004D7C7A" w:rsidRDefault="007F484E" w:rsidP="007F484E">
      <w:pPr>
        <w:spacing w:after="120"/>
        <w:ind w:left="1434"/>
        <w:contextualSpacing/>
        <w:rPr>
          <w:rFonts w:ascii="Verdana" w:hAnsi="Verdana" w:cs="Calibri"/>
          <w:lang w:val="fr-CA" w:eastAsia="fr-CA"/>
        </w:rPr>
      </w:pPr>
    </w:p>
    <w:p w14:paraId="0345ADA4" w14:textId="77777777" w:rsidR="007F484E" w:rsidRPr="00665364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eastAsia="fr-CA"/>
        </w:rPr>
      </w:pPr>
      <w:r w:rsidRPr="00665364">
        <w:rPr>
          <w:rFonts w:ascii="Verdana" w:hAnsi="Verdana" w:cs="Calibri"/>
          <w:b/>
          <w:bCs/>
          <w:lang w:eastAsia="fr-CA"/>
        </w:rPr>
        <w:t xml:space="preserve">Après un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résultat</w:t>
      </w:r>
      <w:proofErr w:type="spellEnd"/>
      <w:r w:rsidRPr="00665364">
        <w:rPr>
          <w:rFonts w:ascii="Verdana" w:hAnsi="Verdana" w:cs="Calibri"/>
          <w:b/>
          <w:bCs/>
          <w:lang w:eastAsia="fr-CA"/>
        </w:rPr>
        <w:t xml:space="preserve">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positif</w:t>
      </w:r>
      <w:proofErr w:type="spellEnd"/>
    </w:p>
    <w:p w14:paraId="23230E73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hAnsi="Verdana" w:cs="Calibri"/>
          <w:b/>
          <w:bCs/>
          <w:lang w:val="fr-CA" w:eastAsia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Les élèves qui reçoivent un résultat positif au test de dépistage de la COVID-19 doivent suivre les conseils de leur bureau de santé publique local et ne peuvent pas retourner à l'école tant celui-ci ne leur a pas donné l'autorisation de le faire en toute sécurité. </w:t>
      </w:r>
      <w:hyperlink r:id="rId14" w:history="1">
        <w:r w:rsidRPr="004D7C7A">
          <w:rPr>
            <w:rFonts w:ascii="Verdana" w:eastAsia="Calibri" w:hAnsi="Verdana" w:cs="Open Sans"/>
            <w:color w:val="0066CC"/>
            <w:lang w:val="fr-CA"/>
          </w:rPr>
          <w:t>Voyez comment s'auto-isoler et comment prendre soin d'une personne atteinte de </w:t>
        </w:r>
        <w:r w:rsidRPr="004D7C7A">
          <w:rPr>
            <w:rFonts w:ascii="Verdana" w:eastAsia="Calibri" w:hAnsi="Verdana" w:cs="Open Sans"/>
            <w:color w:val="0066CC"/>
            <w:u w:val="single"/>
            <w:lang w:val="fr-CA"/>
          </w:rPr>
          <w:t>COVID-19</w:t>
        </w:r>
      </w:hyperlink>
      <w:r w:rsidRPr="004D7C7A">
        <w:rPr>
          <w:rFonts w:ascii="Verdana" w:eastAsia="Calibri" w:hAnsi="Verdana" w:cs="Open Sans"/>
          <w:color w:val="1A1A1A"/>
          <w:lang w:val="fr-CA"/>
        </w:rPr>
        <w:t>.</w:t>
      </w:r>
    </w:p>
    <w:p w14:paraId="12EE0928" w14:textId="77777777" w:rsidR="007F484E" w:rsidRPr="004D7C7A" w:rsidRDefault="007F484E" w:rsidP="007F484E">
      <w:pPr>
        <w:spacing w:after="120"/>
        <w:ind w:left="567"/>
        <w:contextualSpacing/>
        <w:rPr>
          <w:rFonts w:ascii="Verdana" w:hAnsi="Verdana" w:cs="Calibri"/>
          <w:b/>
          <w:bCs/>
          <w:lang w:val="fr-CA" w:eastAsia="fr-CA"/>
        </w:rPr>
      </w:pPr>
    </w:p>
    <w:p w14:paraId="50E1F090" w14:textId="77777777" w:rsidR="007F484E" w:rsidRPr="004D7C7A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val="fr-CA" w:eastAsia="fr-CA"/>
        </w:rPr>
      </w:pPr>
      <w:r w:rsidRPr="004D7C7A">
        <w:rPr>
          <w:rFonts w:ascii="Verdana" w:hAnsi="Verdana" w:cs="Calibri"/>
          <w:b/>
          <w:bCs/>
          <w:lang w:val="fr-CA" w:eastAsia="fr-CA"/>
        </w:rPr>
        <w:t>Si un cas de COVID-19 est confirmé à l'école</w:t>
      </w:r>
    </w:p>
    <w:p w14:paraId="06D6A486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Le bureau de santé publique local est chargé de déterminer les mesures à mettre en place si un cas de </w:t>
      </w:r>
      <w:r w:rsidRPr="004D7C7A">
        <w:rPr>
          <w:rFonts w:ascii="Verdana" w:eastAsia="Calibri" w:hAnsi="Verdana"/>
          <w:lang w:val="fr-CA"/>
        </w:rPr>
        <w:t>COVID-19</w:t>
      </w:r>
      <w:r w:rsidRPr="004D7C7A">
        <w:rPr>
          <w:rFonts w:ascii="Verdana" w:eastAsia="Calibri" w:hAnsi="Verdana" w:cs="Open Sans"/>
          <w:color w:val="1A1A1A"/>
          <w:lang w:val="fr-CA"/>
        </w:rPr>
        <w:t> est confirmé au sein de l’école.</w:t>
      </w:r>
    </w:p>
    <w:p w14:paraId="737264D8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>Les écoles collaborent toujours avec les bureaux de santé publique locaux afin de les aider à identifier les personnes qui ont été en contact étroit avec une personne qui a reçu un résultat positif à un test de la </w:t>
      </w:r>
      <w:r w:rsidRPr="004D7C7A">
        <w:rPr>
          <w:rFonts w:ascii="Verdana" w:eastAsia="Calibri" w:hAnsi="Verdana"/>
          <w:lang w:val="fr-CA"/>
        </w:rPr>
        <w:t>COVID-19</w:t>
      </w:r>
      <w:r w:rsidRPr="004D7C7A">
        <w:rPr>
          <w:rFonts w:ascii="Verdana" w:eastAsia="Calibri" w:hAnsi="Verdana" w:cs="Open Sans"/>
          <w:color w:val="1A1A1A"/>
          <w:lang w:val="fr-CA"/>
        </w:rPr>
        <w:t>.</w:t>
      </w:r>
    </w:p>
    <w:p w14:paraId="0693AD35" w14:textId="77777777" w:rsidR="007F484E" w:rsidRPr="00665364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eastAsia="fr-CA"/>
        </w:rPr>
      </w:pPr>
      <w:proofErr w:type="spellStart"/>
      <w:r w:rsidRPr="00665364">
        <w:rPr>
          <w:rFonts w:ascii="Verdana" w:hAnsi="Verdana" w:cs="Calibri"/>
          <w:b/>
          <w:bCs/>
          <w:lang w:eastAsia="fr-CA"/>
        </w:rPr>
        <w:t>Déclaration</w:t>
      </w:r>
      <w:proofErr w:type="spellEnd"/>
      <w:r w:rsidRPr="00665364">
        <w:rPr>
          <w:rFonts w:ascii="Verdana" w:hAnsi="Verdana" w:cs="Calibri"/>
          <w:b/>
          <w:bCs/>
          <w:lang w:eastAsia="fr-CA"/>
        </w:rPr>
        <w:t xml:space="preserve">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d'une</w:t>
      </w:r>
      <w:proofErr w:type="spellEnd"/>
      <w:r w:rsidRPr="00665364">
        <w:rPr>
          <w:rFonts w:ascii="Verdana" w:hAnsi="Verdana" w:cs="Calibri"/>
          <w:b/>
          <w:bCs/>
          <w:lang w:eastAsia="fr-CA"/>
        </w:rPr>
        <w:t xml:space="preserve">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éclosion</w:t>
      </w:r>
      <w:proofErr w:type="spellEnd"/>
    </w:p>
    <w:p w14:paraId="6A686BBF" w14:textId="77777777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Verdana" w:hAnsi="Verdana" w:cs="Verdana"/>
          <w:b/>
          <w:bCs/>
          <w:lang w:val="fr-CA" w:eastAsia="fr-CA"/>
        </w:rPr>
      </w:pPr>
      <w:r w:rsidRPr="004D7C7A">
        <w:rPr>
          <w:rFonts w:ascii="Verdana" w:eastAsia="Verdana" w:hAnsi="Verdana" w:cs="Verdana"/>
          <w:color w:val="1A1A1A"/>
          <w:lang w:val="fr-CA"/>
        </w:rPr>
        <w:t>Si le bureau de santé publique local déclare une éclosion, il indiquera les prochaines étapes.</w:t>
      </w:r>
    </w:p>
    <w:p w14:paraId="42FA5FA5" w14:textId="77777777" w:rsidR="007F484E" w:rsidRPr="004D7C7A" w:rsidRDefault="007F484E" w:rsidP="007F484E">
      <w:pPr>
        <w:spacing w:after="120"/>
        <w:ind w:left="567"/>
        <w:contextualSpacing/>
        <w:rPr>
          <w:rFonts w:ascii="Verdana" w:hAnsi="Verdana" w:cs="Calibri"/>
          <w:b/>
          <w:bCs/>
          <w:lang w:val="fr-CA" w:eastAsia="fr-CA"/>
        </w:rPr>
      </w:pPr>
    </w:p>
    <w:p w14:paraId="1A340DF1" w14:textId="77777777" w:rsidR="007F484E" w:rsidRPr="00665364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eastAsia="fr-CA"/>
        </w:rPr>
      </w:pPr>
      <w:r w:rsidRPr="00665364">
        <w:rPr>
          <w:rFonts w:ascii="Verdana" w:hAnsi="Verdana" w:cs="Calibri"/>
          <w:b/>
          <w:bCs/>
          <w:lang w:eastAsia="fr-CA"/>
        </w:rPr>
        <w:t xml:space="preserve">Retour à </w:t>
      </w:r>
      <w:proofErr w:type="spellStart"/>
      <w:r w:rsidRPr="00665364">
        <w:rPr>
          <w:rFonts w:ascii="Verdana" w:hAnsi="Verdana" w:cs="Calibri"/>
          <w:b/>
          <w:bCs/>
          <w:lang w:eastAsia="fr-CA"/>
        </w:rPr>
        <w:t>l’école</w:t>
      </w:r>
      <w:proofErr w:type="spellEnd"/>
    </w:p>
    <w:p w14:paraId="5A079796" w14:textId="49EC6B72" w:rsidR="007F484E" w:rsidRPr="004D7C7A" w:rsidRDefault="007F484E" w:rsidP="007F484E">
      <w:pPr>
        <w:numPr>
          <w:ilvl w:val="0"/>
          <w:numId w:val="15"/>
        </w:numPr>
        <w:spacing w:after="120" w:line="259" w:lineRule="auto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  <w:r w:rsidRPr="004D7C7A">
        <w:rPr>
          <w:rFonts w:ascii="Verdana" w:eastAsia="Calibri" w:hAnsi="Verdana" w:cs="Open Sans"/>
          <w:color w:val="1A1A1A"/>
          <w:lang w:val="fr-CA"/>
        </w:rPr>
        <w:t xml:space="preserve">Les élèves qui se sont absentés de l’école parce qu’ils ou elles étaient symptomatiques ou parce qu’ils ou elles ont reçu un résultat positif au test de la COVID-19 devront fournir </w:t>
      </w:r>
      <w:r w:rsidRPr="004D7C7A">
        <w:rPr>
          <w:rFonts w:ascii="Verdana" w:eastAsia="Calibri" w:hAnsi="Verdana" w:cs="Open Sans"/>
          <w:lang w:val="fr-CA"/>
        </w:rPr>
        <w:t xml:space="preserve">l’attestation de retour à l’école </w:t>
      </w:r>
      <w:r w:rsidRPr="004D7C7A">
        <w:rPr>
          <w:rFonts w:ascii="Verdana" w:eastAsia="Calibri" w:hAnsi="Verdana" w:cs="Open Sans"/>
          <w:color w:val="1A1A1A"/>
          <w:lang w:val="fr-CA"/>
        </w:rPr>
        <w:t>dûment complétée et signée</w:t>
      </w:r>
      <w:r w:rsidR="004D7C7A">
        <w:rPr>
          <w:rFonts w:ascii="Verdana" w:eastAsia="Calibri" w:hAnsi="Verdana" w:cs="Open Sans"/>
          <w:color w:val="1A1A1A"/>
          <w:lang w:val="fr-CA"/>
        </w:rPr>
        <w:t xml:space="preserve"> (ce document sera disponible prochainement)</w:t>
      </w:r>
      <w:r w:rsidRPr="004D7C7A">
        <w:rPr>
          <w:rFonts w:ascii="Verdana" w:eastAsia="Calibri" w:hAnsi="Verdana" w:cs="Open Sans"/>
          <w:color w:val="1A1A1A"/>
          <w:lang w:val="fr-CA"/>
        </w:rPr>
        <w:t>.</w:t>
      </w:r>
    </w:p>
    <w:p w14:paraId="704F48CE" w14:textId="77777777" w:rsidR="007F484E" w:rsidRPr="004D7C7A" w:rsidRDefault="007F484E" w:rsidP="007F484E">
      <w:pPr>
        <w:spacing w:after="120"/>
        <w:ind w:left="567"/>
        <w:contextualSpacing/>
        <w:rPr>
          <w:rFonts w:ascii="Verdana" w:eastAsia="Calibri" w:hAnsi="Verdana" w:cs="Open Sans"/>
          <w:color w:val="1A1A1A"/>
          <w:lang w:val="fr-CA"/>
        </w:rPr>
      </w:pPr>
    </w:p>
    <w:p w14:paraId="2CA8F595" w14:textId="77777777" w:rsidR="007F484E" w:rsidRPr="004D7C7A" w:rsidRDefault="007F484E" w:rsidP="007F484E">
      <w:pPr>
        <w:numPr>
          <w:ilvl w:val="0"/>
          <w:numId w:val="16"/>
        </w:numPr>
        <w:spacing w:after="120" w:line="259" w:lineRule="auto"/>
        <w:contextualSpacing/>
        <w:rPr>
          <w:rFonts w:ascii="Verdana" w:hAnsi="Verdana" w:cs="Calibri"/>
          <w:b/>
          <w:bCs/>
          <w:lang w:val="fr-CA" w:eastAsia="fr-CA"/>
        </w:rPr>
      </w:pPr>
      <w:r w:rsidRPr="004D7C7A">
        <w:rPr>
          <w:rFonts w:ascii="Verdana" w:hAnsi="Verdana" w:cs="Calibri"/>
          <w:b/>
          <w:bCs/>
          <w:lang w:val="fr-CA" w:eastAsia="fr-CA"/>
        </w:rPr>
        <w:t>Gestion des cas et des contacts dans les écoles pour les contacts à risque élevé et pour les membres du même foyer</w:t>
      </w:r>
    </w:p>
    <w:p w14:paraId="68E21A96" w14:textId="77777777" w:rsidR="007F484E" w:rsidRPr="004D7C7A" w:rsidRDefault="007F484E" w:rsidP="007F484E">
      <w:pPr>
        <w:numPr>
          <w:ilvl w:val="0"/>
          <w:numId w:val="15"/>
        </w:numPr>
        <w:spacing w:after="160" w:line="259" w:lineRule="auto"/>
        <w:contextualSpacing/>
        <w:rPr>
          <w:rFonts w:ascii="Verdana" w:eastAsia="Calibri" w:hAnsi="Verdana"/>
          <w:bCs/>
          <w:lang w:val="fr-CA"/>
        </w:rPr>
      </w:pPr>
      <w:r w:rsidRPr="004D7C7A">
        <w:rPr>
          <w:rFonts w:ascii="Verdana" w:eastAsia="Calibri" w:hAnsi="Verdana"/>
          <w:bCs/>
          <w:lang w:val="fr-CA"/>
        </w:rPr>
        <w:t xml:space="preserve">La gestion des cas et des contacts à risque élevé relève des bureaux de santé publique locaux. </w:t>
      </w:r>
    </w:p>
    <w:p w14:paraId="4522D4F1" w14:textId="07FD7DC8" w:rsidR="007F484E" w:rsidRPr="004D7C7A" w:rsidRDefault="007F484E" w:rsidP="007F484E">
      <w:pPr>
        <w:numPr>
          <w:ilvl w:val="0"/>
          <w:numId w:val="15"/>
        </w:numPr>
        <w:spacing w:after="160" w:line="259" w:lineRule="auto"/>
        <w:contextualSpacing/>
        <w:rPr>
          <w:rFonts w:ascii="Verdana" w:eastAsia="Calibri" w:hAnsi="Verdana"/>
          <w:lang w:val="fr-CA"/>
        </w:rPr>
      </w:pPr>
      <w:r w:rsidRPr="004D7C7A">
        <w:rPr>
          <w:rFonts w:ascii="Verdana" w:eastAsia="Calibri" w:hAnsi="Verdana"/>
          <w:lang w:val="fr-CA"/>
        </w:rPr>
        <w:t xml:space="preserve">Selon la situation spécifique de chacun des contacts à risque élevé et des membres de leur foyer, les consignes des bureaux de santé pourraient varier; </w:t>
      </w:r>
      <w:hyperlink r:id="rId15">
        <w:r w:rsidRPr="004D7C7A">
          <w:rPr>
            <w:rFonts w:ascii="Verdana" w:eastAsia="Calibri" w:hAnsi="Verdana"/>
            <w:lang w:val="fr-CA"/>
          </w:rPr>
          <w:t xml:space="preserve">se référer aux sites </w:t>
        </w:r>
        <w:r w:rsidRPr="004D7C7A">
          <w:rPr>
            <w:rFonts w:ascii="Verdana" w:eastAsia="Calibri" w:hAnsi="Verdana"/>
            <w:color w:val="0563C1"/>
            <w:u w:val="single"/>
            <w:lang w:val="fr-CA"/>
          </w:rPr>
          <w:t>web des bureaux de santé locaux</w:t>
        </w:r>
      </w:hyperlink>
      <w:r w:rsidRPr="004D7C7A">
        <w:rPr>
          <w:rFonts w:ascii="Verdana" w:eastAsia="Calibri" w:hAnsi="Verdana"/>
          <w:lang w:val="fr-CA"/>
        </w:rPr>
        <w:t xml:space="preserve">. Le document </w:t>
      </w:r>
      <w:hyperlink r:id="rId16">
        <w:r w:rsidRPr="004D7C7A">
          <w:rPr>
            <w:rFonts w:ascii="Verdana" w:eastAsia="Calibri" w:hAnsi="Verdana"/>
            <w:color w:val="0563C1"/>
            <w:u w:val="single"/>
            <w:lang w:val="fr-CA"/>
          </w:rPr>
          <w:t>COVID-19 : Document d’orientation sur la gestion des cas, des contacts et des éclosions dans les écoles (gov.on.ca)</w:t>
        </w:r>
      </w:hyperlink>
      <w:r w:rsidRPr="004D7C7A">
        <w:rPr>
          <w:rFonts w:ascii="Verdana" w:eastAsia="Calibri" w:hAnsi="Verdana"/>
          <w:lang w:val="fr-CA"/>
        </w:rPr>
        <w:t xml:space="preserve"> fournit des directives en lien avec la gestion des cas e des contacts dans les écoles. Lorsque vous êtes en attente de vos résultats de test </w:t>
      </w:r>
      <w:r w:rsidRPr="004D7C7A">
        <w:rPr>
          <w:rFonts w:ascii="Verdana" w:eastAsia="Calibri" w:hAnsi="Verdana"/>
          <w:lang w:val="fr-CA"/>
        </w:rPr>
        <w:lastRenderedPageBreak/>
        <w:t>de dépistage de la COVID-19 ou des directives des BSP, consultez le procédurier ci-dessous.</w:t>
      </w:r>
    </w:p>
    <w:p w14:paraId="51FD9ACD" w14:textId="77777777" w:rsidR="007F484E" w:rsidRPr="004D7C7A" w:rsidRDefault="007F484E" w:rsidP="007F484E">
      <w:pPr>
        <w:spacing w:after="120"/>
        <w:jc w:val="center"/>
        <w:rPr>
          <w:rFonts w:ascii="Verdana" w:hAnsi="Verdana"/>
          <w:i/>
          <w:iCs/>
          <w:lang w:val="fr-CA"/>
        </w:rPr>
      </w:pPr>
    </w:p>
    <w:p w14:paraId="09287A20" w14:textId="77777777" w:rsidR="007F484E" w:rsidRPr="004D7C7A" w:rsidRDefault="007F484E" w:rsidP="007F484E">
      <w:pPr>
        <w:spacing w:after="120"/>
        <w:jc w:val="center"/>
        <w:rPr>
          <w:rFonts w:ascii="Verdana" w:hAnsi="Verdana"/>
          <w:i/>
          <w:iCs/>
          <w:lang w:val="fr-CA"/>
        </w:rPr>
      </w:pPr>
    </w:p>
    <w:p w14:paraId="70E1D452" w14:textId="77777777" w:rsidR="007F484E" w:rsidRPr="004D7C7A" w:rsidRDefault="007F484E" w:rsidP="007F484E">
      <w:pPr>
        <w:spacing w:after="120"/>
        <w:jc w:val="center"/>
        <w:rPr>
          <w:rFonts w:ascii="Verdana" w:hAnsi="Verdana"/>
          <w:i/>
          <w:iCs/>
          <w:sz w:val="20"/>
          <w:szCs w:val="20"/>
          <w:lang w:val="fr-CA"/>
        </w:rPr>
      </w:pPr>
      <w:r w:rsidRPr="004D7C7A">
        <w:rPr>
          <w:rFonts w:ascii="Verdana" w:hAnsi="Verdana"/>
          <w:i/>
          <w:iCs/>
          <w:lang w:val="fr-CA"/>
        </w:rPr>
        <w:t>Figure 1 : Gestion des cas et des contacts dans les écoles pour un contact à risque élevé</w:t>
      </w:r>
    </w:p>
    <w:p w14:paraId="229B3E8F" w14:textId="3F159102" w:rsidR="007F484E" w:rsidRPr="004D7C7A" w:rsidRDefault="007F484E" w:rsidP="007F484E">
      <w:pPr>
        <w:spacing w:after="120"/>
        <w:rPr>
          <w:rFonts w:ascii="Verdana" w:hAnsi="Verdana"/>
          <w:i/>
          <w:iCs/>
          <w:sz w:val="20"/>
          <w:szCs w:val="20"/>
          <w:lang w:val="fr-CA"/>
        </w:rPr>
      </w:pPr>
      <w:r w:rsidRPr="00D63570">
        <w:rPr>
          <w:noProof/>
        </w:rPr>
        <w:drawing>
          <wp:anchor distT="0" distB="0" distL="114300" distR="114300" simplePos="0" relativeHeight="251661312" behindDoc="1" locked="0" layoutInCell="1" allowOverlap="1" wp14:anchorId="1A8DB339" wp14:editId="0635B6E4">
            <wp:simplePos x="0" y="0"/>
            <wp:positionH relativeFrom="column">
              <wp:posOffset>-521970</wp:posOffset>
            </wp:positionH>
            <wp:positionV relativeFrom="paragraph">
              <wp:posOffset>323553</wp:posOffset>
            </wp:positionV>
            <wp:extent cx="3869055" cy="3855085"/>
            <wp:effectExtent l="0" t="0" r="0" b="0"/>
            <wp:wrapTight wrapText="bothSides">
              <wp:wrapPolygon edited="0">
                <wp:start x="0" y="0"/>
                <wp:lineTo x="0" y="21454"/>
                <wp:lineTo x="21483" y="21454"/>
                <wp:lineTo x="2148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BB5A9" w14:textId="01EC3BAA" w:rsidR="007F484E" w:rsidRPr="004D7C7A" w:rsidRDefault="007F484E" w:rsidP="007F484E">
      <w:pPr>
        <w:rPr>
          <w:lang w:val="fr-CA"/>
        </w:rPr>
      </w:pPr>
    </w:p>
    <w:p w14:paraId="1434F9B3" w14:textId="3968BE23" w:rsidR="007F484E" w:rsidRPr="004D7C7A" w:rsidRDefault="007F484E" w:rsidP="007F484E">
      <w:pPr>
        <w:rPr>
          <w:rFonts w:ascii="Verdana" w:hAnsi="Verdana"/>
          <w:i/>
          <w:iCs/>
          <w:lang w:val="fr-CA"/>
        </w:rPr>
      </w:pPr>
      <w:r>
        <w:rPr>
          <w:rFonts w:ascii="Verdana" w:hAnsi="Verdan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2AF70" wp14:editId="62E7A87E">
                <wp:simplePos x="0" y="0"/>
                <wp:positionH relativeFrom="column">
                  <wp:posOffset>3446392</wp:posOffset>
                </wp:positionH>
                <wp:positionV relativeFrom="paragraph">
                  <wp:posOffset>10878</wp:posOffset>
                </wp:positionV>
                <wp:extent cx="2682815" cy="3312543"/>
                <wp:effectExtent l="0" t="0" r="22860" b="2159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3312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0808C" w14:textId="77777777" w:rsidR="007F484E" w:rsidRPr="004D7C7A" w:rsidRDefault="007F484E" w:rsidP="007F484E">
                            <w:pPr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>Notes :</w:t>
                            </w:r>
                          </w:p>
                          <w:p w14:paraId="6C30391F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1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Aux fins de gestion des cas, des contacts et des éclosions, une personne est définie comme étant entièrement vaccinée ≥14 jours après avoir reçu sa deuxième dose d’une série de deux doses de vaccin contre la COVID-19 ou sa première dose d’une série d’une dose de vaccin contre la COVID-19 qui est </w:t>
                            </w:r>
                            <w:hyperlink r:id="rId18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indiqué aux fins d’utilisation en cas d’urgence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par l’Organisation mondiale de la santé ou approuvé par Santé Canada. Les personnes qui sont immunodéprimées sont exclues de cette définition, conformément au </w:t>
                            </w:r>
                            <w:hyperlink r:id="rId19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document Personnes entièrement vaccinées contre la COVID-19 : Document d’orientation provisoire sur la gestion des cas, des contacts et des éclosions.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</w:t>
                            </w:r>
                          </w:p>
                          <w:p w14:paraId="110C584B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2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Aux fins de gestion des cas, des contacts et des éclosions, une personne est définie comme ayant obtenu un résultat antérieur positif si elle était un cas confirmé de COVID-19 lorsque son résultat positif initial a été obtenu il y a ≤ 90 jours ET qu’elle a obtenu </w:t>
                            </w:r>
                            <w:hyperlink r:id="rId20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son congé après son infection initiale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. Les personnes qui sont immunodéprimées sont exclues de cette définition, conformément au document Personnes entièrement vaccinées contre la COVID-19 : Document d’orientation provisoire sur la gestion des cas, des contacts et des éclosions. </w:t>
                            </w:r>
                          </w:p>
                          <w:p w14:paraId="21A3FCCE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>3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L’auto-isolement peut toujours être requis, à la discrétion du bureau de santé publique local. Consulter le document </w:t>
                            </w:r>
                            <w:hyperlink r:id="rId21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Personnes entièrement vaccinées contre la COVID-19 : Document d’orientation provisoire sur la gestion des cas, des contacts et des éclosions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pour les personnes immunodéprimées et les résidents de milieux d’hébergement collectif à risque élevé/patients hospitalisés. </w:t>
                            </w:r>
                          </w:p>
                          <w:p w14:paraId="2B263039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4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Consulter le document </w:t>
                            </w:r>
                            <w:hyperlink r:id="rId22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Mise à jour sur le document d’orientation sur la COVID-19 : Tests de dépistage provinciaux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2AF70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271.35pt;margin-top:.85pt;width:211.25pt;height:26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" fillcolor="white [3201]" strokeweight=".5pt">
                <v:textbox>
                  <w:txbxContent>
                    <w:p w14:paraId="1760808C" w14:textId="77777777" w:rsidR="007F484E" w:rsidRPr="004D7C7A" w:rsidRDefault="007F484E" w:rsidP="007F484E">
                      <w:pPr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>Notes :</w:t>
                      </w:r>
                    </w:p>
                    <w:p w14:paraId="6C30391F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1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Aux fins de gestion des cas, des contacts et des éclosions, une personne est définie comme étant entièrement vaccinée ≥14 jours après avoir reçu sa deuxième dose d’une série de deux doses de vaccin contre la COVID-19 ou sa première dose d’une série d’une dose de vaccin contre la COVID-19 qui est </w:t>
                      </w:r>
                      <w:hyperlink r:id="rId23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indiqué aux fins d’utilisation en cas d’urgence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par l’Organisation mondiale de la santé ou approuvé par Santé Canada. Les personnes qui sont immunodéprimées sont exclues de cette définition, conformément au </w:t>
                      </w:r>
                      <w:hyperlink r:id="rId24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document Personnes entièrement vaccinées contre la COVID-19 : Document d’orientation provisoire sur la gestion des cas, des contacts et des éclosions.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</w:t>
                      </w:r>
                    </w:p>
                    <w:p w14:paraId="110C584B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2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Aux fins de gestion des cas, des contacts et des éclosions, une personne est définie comme ayant obtenu un résultat antérieur positif si elle était un cas confirmé de COVID-19 lorsque son résultat positif initial a été obtenu il y a ≤ 90 jours ET qu’elle a obtenu </w:t>
                      </w:r>
                      <w:hyperlink r:id="rId25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son congé après son infection initiale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. Les personnes qui sont immunodéprimées sont exclues de cette définition, conformément au document Personnes entièrement vaccinées contre la COVID-19 : Document d’orientation provisoire sur la gestion des cas, des contacts et des éclosions. </w:t>
                      </w:r>
                    </w:p>
                    <w:p w14:paraId="21A3FCCE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>3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L’auto-isolement peut toujours être requis, à la discrétion du bureau de santé publique local. Consulter le document </w:t>
                      </w:r>
                      <w:hyperlink r:id="rId26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Personnes entièrement vaccinées contre la COVID-19 : Document d’orientation provisoire sur la gestion des cas, des contacts et des éclosions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pour les personnes immunodéprimées et les résidents de milieux d’hébergement collectif à risque élevé/patients hospitalisés. </w:t>
                      </w:r>
                    </w:p>
                    <w:p w14:paraId="2B263039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4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Consulter le document </w:t>
                      </w:r>
                      <w:hyperlink r:id="rId27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Mise à jour sur le document d’orientation sur la COVID-19 : Tests de dépistage provinciaux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D7C7A">
        <w:rPr>
          <w:rFonts w:ascii="Verdana" w:hAnsi="Verdana"/>
          <w:i/>
          <w:iCs/>
          <w:lang w:val="fr-CA"/>
        </w:rPr>
        <w:br w:type="page"/>
      </w:r>
    </w:p>
    <w:p w14:paraId="4F5C11AE" w14:textId="77777777" w:rsidR="007F484E" w:rsidRPr="004D7C7A" w:rsidRDefault="007F484E" w:rsidP="007F484E">
      <w:pPr>
        <w:spacing w:after="120"/>
        <w:jc w:val="center"/>
        <w:rPr>
          <w:rFonts w:ascii="Verdana" w:hAnsi="Verdana"/>
          <w:i/>
          <w:iCs/>
          <w:lang w:val="fr-CA"/>
        </w:rPr>
      </w:pPr>
      <w:r w:rsidRPr="004D7C7A">
        <w:rPr>
          <w:rFonts w:ascii="Verdana" w:hAnsi="Verdana"/>
          <w:i/>
          <w:iCs/>
          <w:lang w:val="fr-CA"/>
        </w:rPr>
        <w:lastRenderedPageBreak/>
        <w:t>Figure 2 : Gestion des cas et des contacts dans les écoles pour les membres du ménage des contacts à risque élevé</w:t>
      </w:r>
    </w:p>
    <w:p w14:paraId="6705A923" w14:textId="77777777" w:rsidR="007F484E" w:rsidRPr="004D7C7A" w:rsidRDefault="007F484E" w:rsidP="007F484E">
      <w:pPr>
        <w:spacing w:after="120"/>
        <w:rPr>
          <w:rFonts w:ascii="Verdana" w:hAnsi="Verdana"/>
          <w:i/>
          <w:iCs/>
          <w:lang w:val="fr-CA"/>
        </w:rPr>
      </w:pPr>
    </w:p>
    <w:p w14:paraId="5F368F3C" w14:textId="77777777" w:rsidR="007F484E" w:rsidRDefault="007F484E" w:rsidP="007F484E">
      <w:pPr>
        <w:spacing w:after="120"/>
        <w:rPr>
          <w:rFonts w:ascii="Verdana" w:hAnsi="Verdana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6E470" wp14:editId="1887F7AC">
                <wp:simplePos x="0" y="0"/>
                <wp:positionH relativeFrom="column">
                  <wp:posOffset>-305963</wp:posOffset>
                </wp:positionH>
                <wp:positionV relativeFrom="paragraph">
                  <wp:posOffset>5314381</wp:posOffset>
                </wp:positionV>
                <wp:extent cx="6702724" cy="1708030"/>
                <wp:effectExtent l="0" t="0" r="22225" b="2603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24" cy="170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0458D" w14:textId="77777777" w:rsidR="007F484E" w:rsidRPr="004D7C7A" w:rsidRDefault="007F484E" w:rsidP="007F484E">
                            <w:pPr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>Notes :</w:t>
                            </w:r>
                          </w:p>
                          <w:p w14:paraId="45C933A0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1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Aux fins de gestion des cas, des contacts et des éclosions, une personne est définie comme étant entièrement vaccinée ≥14 jours après avoir reçu sa deuxième dose d’une série de deux doses de vaccin contre la COVID-19 ou sa première dose d’une série d’une dose de vaccin contre la COVID-19 qui est </w:t>
                            </w:r>
                            <w:hyperlink r:id="rId28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indiquée aux fins d’utilisation en cas d’urgence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par l’Organisation mondiale de la santé ou approuvée par Santé Canada. Les personnes qui sont immunodéprimées sont exclues de cette définition, conformément au </w:t>
                            </w:r>
                            <w:hyperlink r:id="rId29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document Personnes entièrement vaccinées contre la COVID-19 : Document d’orientation provisoire sur la gestion des cas, des contacts et des éclosions.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</w:t>
                            </w:r>
                          </w:p>
                          <w:p w14:paraId="52CE4F46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2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Aux fins de gestion des cas, des contacts et des éclosions, une personne est définie comme ayant obtenu un résultat antérieur positif si elle était un cas confirmé de COVID-19 lorsque son résultat positif initial a été obtenu il y a ≤ 90 jours ET qu’elle a obtenu </w:t>
                            </w:r>
                            <w:hyperlink r:id="rId30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son congé après son infection initiale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. Les personnes qui sont immunodéprimées sont exclues de cette définition, conformément au document Personnes entièrement vaccinées contre la COVID-19 : Document d’orientation provisoire sur la gestion des cas, des contacts et des éclosions. </w:t>
                            </w:r>
                          </w:p>
                          <w:p w14:paraId="4FC41B94" w14:textId="77777777" w:rsidR="007F484E" w:rsidRPr="004D7C7A" w:rsidRDefault="007F484E" w:rsidP="007F484E">
                            <w:pPr>
                              <w:spacing w:after="120"/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>3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L’auto-isolement peut toujours être requis, à la discrétion du bureau de santé publique local. Consulter le document </w:t>
                            </w:r>
                            <w:hyperlink r:id="rId31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Personnes entièrement vaccinées contre la COVID-19 : Document d’orientation provisoire sur la gestion des cas, des contacts et des éclosions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 pour les personnes immunodéprimées et les résidents de milieux d’hébergement collectif à risque élevé/patients hospitalisés. </w:t>
                            </w:r>
                          </w:p>
                          <w:p w14:paraId="3162CCDD" w14:textId="77777777" w:rsidR="007F484E" w:rsidRPr="004D7C7A" w:rsidRDefault="007F484E" w:rsidP="007F484E">
                            <w:pPr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vertAlign w:val="superscript"/>
                                <w:lang w:val="fr-CA"/>
                              </w:rPr>
                              <w:t xml:space="preserve">4 </w:t>
                            </w:r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 xml:space="preserve">Consulter le document </w:t>
                            </w:r>
                            <w:hyperlink r:id="rId32" w:history="1">
                              <w:r w:rsidRPr="004D7C7A">
                                <w:rPr>
                                  <w:rFonts w:ascii="Verdana" w:eastAsia="Calibri" w:hAnsi="Verdana"/>
                                  <w:color w:val="0563C1"/>
                                  <w:sz w:val="12"/>
                                  <w:szCs w:val="12"/>
                                  <w:u w:val="single"/>
                                  <w:lang w:val="fr-CA"/>
                                </w:rPr>
                                <w:t>Mise à jour sur le document d’orientation sur la COVID-19 : Tests de dépistage provinciaux</w:t>
                              </w:r>
                            </w:hyperlink>
                            <w:r w:rsidRPr="004D7C7A">
                              <w:rPr>
                                <w:rFonts w:ascii="Verdana" w:eastAsia="Calibri" w:hAnsi="Verdana"/>
                                <w:sz w:val="12"/>
                                <w:szCs w:val="12"/>
                                <w:lang w:val="fr-CA"/>
                              </w:rPr>
                              <w:t>.</w:t>
                            </w:r>
                          </w:p>
                          <w:p w14:paraId="365A1ACB" w14:textId="77777777" w:rsidR="007F484E" w:rsidRPr="004D7C7A" w:rsidRDefault="007F484E" w:rsidP="007F484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E470" id="Zone de texte 24" o:spid="_x0000_s1027" type="#_x0000_t202" style="position:absolute;margin-left:-24.1pt;margin-top:418.45pt;width:527.75pt;height:1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" fillcolor="white [3201]" strokeweight=".5pt">
                <v:textbox>
                  <w:txbxContent>
                    <w:p w14:paraId="7C90458D" w14:textId="77777777" w:rsidR="007F484E" w:rsidRPr="004D7C7A" w:rsidRDefault="007F484E" w:rsidP="007F484E">
                      <w:pPr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>Notes :</w:t>
                      </w:r>
                    </w:p>
                    <w:p w14:paraId="45C933A0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1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Aux fins de gestion des cas, des contacts et des éclosions, une personne est définie comme étant entièrement vaccinée ≥14 jours après avoir reçu sa deuxième dose d’une série de deux doses de vaccin contre la COVID-19 ou sa première dose d’une série d’une dose de vaccin contre la COVID-19 qui est </w:t>
                      </w:r>
                      <w:hyperlink r:id="rId33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indiquée aux fins d’utilisation en cas d’urgence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par l’Organisation mondiale de la santé ou approuvée par Santé Canada. Les personnes qui sont immunodéprimées sont exclues de cette définition, conformément au </w:t>
                      </w:r>
                      <w:hyperlink r:id="rId34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document Personnes entièrement vaccinées contre la COVID-19 : Document d’orientation provisoire sur la gestion des cas, des contacts et des éclosions.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</w:t>
                      </w:r>
                    </w:p>
                    <w:p w14:paraId="52CE4F46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2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Aux fins de gestion des cas, des contacts et des éclosions, une personne est définie comme ayant obtenu un résultat antérieur positif si elle était un cas confirmé de COVID-19 lorsque son résultat positif initial a été obtenu il y a ≤ 90 jours ET qu’elle a obtenu </w:t>
                      </w:r>
                      <w:hyperlink r:id="rId35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son congé après son infection initiale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. Les personnes qui sont immunodéprimées sont exclues de cette définition, conformément au document Personnes entièrement vaccinées contre la COVID-19 : Document d’orientation provisoire sur la gestion des cas, des contacts et des éclosions. </w:t>
                      </w:r>
                    </w:p>
                    <w:p w14:paraId="4FC41B94" w14:textId="77777777" w:rsidR="007F484E" w:rsidRPr="004D7C7A" w:rsidRDefault="007F484E" w:rsidP="007F484E">
                      <w:pPr>
                        <w:spacing w:after="120"/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>3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L’auto-isolement peut toujours être requis, à la discrétion du bureau de santé publique local. Consulter le document </w:t>
                      </w:r>
                      <w:hyperlink r:id="rId36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Personnes entièrement vaccinées contre la COVID-19 : Document d’orientation provisoire sur la gestion des cas, des contacts et des éclosions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 pour les personnes immunodéprimées et les résidents de milieux d’hébergement collectif à risque élevé/patients hospitalisés. </w:t>
                      </w:r>
                    </w:p>
                    <w:p w14:paraId="3162CCDD" w14:textId="77777777" w:rsidR="007F484E" w:rsidRPr="004D7C7A" w:rsidRDefault="007F484E" w:rsidP="007F484E">
                      <w:pPr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</w:pP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vertAlign w:val="superscript"/>
                          <w:lang w:val="fr-CA"/>
                        </w:rPr>
                        <w:t xml:space="preserve">4 </w:t>
                      </w:r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 xml:space="preserve">Consulter le document </w:t>
                      </w:r>
                      <w:hyperlink r:id="rId37" w:history="1">
                        <w:r w:rsidRPr="004D7C7A">
                          <w:rPr>
                            <w:rFonts w:ascii="Verdana" w:eastAsia="Calibri" w:hAnsi="Verdana"/>
                            <w:color w:val="0563C1"/>
                            <w:sz w:val="12"/>
                            <w:szCs w:val="12"/>
                            <w:u w:val="single"/>
                            <w:lang w:val="fr-CA"/>
                          </w:rPr>
                          <w:t>Mise à jour sur le document d’orientation sur la COVID-19 : Tests de dépistage provinciaux</w:t>
                        </w:r>
                      </w:hyperlink>
                      <w:r w:rsidRPr="004D7C7A">
                        <w:rPr>
                          <w:rFonts w:ascii="Verdana" w:eastAsia="Calibri" w:hAnsi="Verdana"/>
                          <w:sz w:val="12"/>
                          <w:szCs w:val="12"/>
                          <w:lang w:val="fr-CA"/>
                        </w:rPr>
                        <w:t>.</w:t>
                      </w:r>
                    </w:p>
                    <w:p w14:paraId="365A1ACB" w14:textId="77777777" w:rsidR="007F484E" w:rsidRPr="004D7C7A" w:rsidRDefault="007F484E" w:rsidP="007F484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3570">
        <w:rPr>
          <w:rFonts w:ascii="Verdana" w:hAnsi="Verdana"/>
          <w:noProof/>
        </w:rPr>
        <w:drawing>
          <wp:inline distT="0" distB="0" distL="0" distR="0" wp14:anchorId="6913DC1D" wp14:editId="39F045A3">
            <wp:extent cx="5971540" cy="5178425"/>
            <wp:effectExtent l="0" t="0" r="0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E3BD" w14:textId="77777777" w:rsidR="007F484E" w:rsidRDefault="007F484E" w:rsidP="007F484E">
      <w:pPr>
        <w:spacing w:after="120"/>
        <w:rPr>
          <w:rFonts w:ascii="Verdana" w:hAnsi="Verdana"/>
          <w:i/>
          <w:iCs/>
        </w:rPr>
      </w:pPr>
    </w:p>
    <w:p w14:paraId="6E2A958F" w14:textId="77777777" w:rsidR="007F484E" w:rsidRDefault="007F484E" w:rsidP="007F484E">
      <w:pPr>
        <w:spacing w:after="120"/>
        <w:rPr>
          <w:rFonts w:ascii="Verdana" w:hAnsi="Verdana"/>
          <w:i/>
          <w:iCs/>
        </w:rPr>
      </w:pPr>
    </w:p>
    <w:p w14:paraId="72B88F39" w14:textId="22A5CE02" w:rsidR="007F484E" w:rsidRDefault="007F484E" w:rsidP="007F484E">
      <w:pPr>
        <w:spacing w:after="120"/>
        <w:rPr>
          <w:rFonts w:ascii="Verdana" w:hAnsi="Verdana"/>
          <w:i/>
          <w:iCs/>
        </w:rPr>
      </w:pPr>
    </w:p>
    <w:p w14:paraId="4DDCD9CC" w14:textId="2C9C545B" w:rsidR="0031561E" w:rsidRDefault="0031561E" w:rsidP="007F484E">
      <w:pPr>
        <w:spacing w:after="120"/>
        <w:rPr>
          <w:rFonts w:ascii="Verdana" w:hAnsi="Verdana"/>
          <w:i/>
          <w:iCs/>
        </w:rPr>
      </w:pPr>
    </w:p>
    <w:p w14:paraId="045CFA75" w14:textId="77777777" w:rsidR="0031561E" w:rsidRDefault="0031561E" w:rsidP="007F484E">
      <w:pPr>
        <w:spacing w:after="120"/>
        <w:rPr>
          <w:rFonts w:ascii="Verdana" w:hAnsi="Verdana"/>
          <w:i/>
          <w:iCs/>
        </w:rPr>
      </w:pPr>
    </w:p>
    <w:p w14:paraId="2D5B7CB6" w14:textId="77777777" w:rsidR="007F484E" w:rsidRPr="00706478" w:rsidRDefault="007F484E" w:rsidP="007F484E">
      <w:pPr>
        <w:spacing w:after="120"/>
        <w:rPr>
          <w:rFonts w:ascii="Verdana" w:hAnsi="Verdana"/>
          <w:i/>
          <w:iCs/>
        </w:rPr>
      </w:pPr>
    </w:p>
    <w:p w14:paraId="29CC2776" w14:textId="77777777" w:rsidR="007F484E" w:rsidRDefault="007F484E" w:rsidP="007F484E"/>
    <w:p w14:paraId="4325B9A2" w14:textId="77777777" w:rsidR="009E6EB3" w:rsidRPr="00D86F8D" w:rsidRDefault="009E6EB3" w:rsidP="002E44DC">
      <w:pPr>
        <w:rPr>
          <w:rFonts w:ascii="Verdana" w:hAnsi="Verdana"/>
          <w:sz w:val="20"/>
          <w:szCs w:val="20"/>
          <w:lang w:val="fr-CA"/>
        </w:rPr>
      </w:pPr>
    </w:p>
    <w:p w14:paraId="0A767CDE" w14:textId="77777777" w:rsidR="0031561E" w:rsidRPr="0031561E" w:rsidRDefault="0031561E" w:rsidP="0031561E">
      <w:pPr>
        <w:pStyle w:val="Pa5"/>
        <w:spacing w:after="120" w:line="240" w:lineRule="auto"/>
        <w:rPr>
          <w:rFonts w:ascii="Verdana" w:hAnsi="Verdana"/>
          <w:sz w:val="22"/>
          <w:szCs w:val="22"/>
        </w:rPr>
      </w:pPr>
      <w:r w:rsidRPr="0031561E">
        <w:rPr>
          <w:rFonts w:ascii="Verdana" w:hAnsi="Verdana" w:cs="Raleway"/>
          <w:color w:val="000000" w:themeColor="text1"/>
          <w:sz w:val="22"/>
          <w:szCs w:val="22"/>
        </w:rPr>
        <w:t>Comme l’an passé, les données relatives aux cas positifs de COVID-19 dans les écoles du Conseil seront affichées dans la rubrique </w:t>
      </w:r>
      <w:hyperlink r:id="rId39" w:history="1">
        <w:r w:rsidRPr="0031561E">
          <w:rPr>
            <w:rStyle w:val="Lienhypertexte"/>
            <w:rFonts w:ascii="Verdana" w:hAnsi="Verdana"/>
            <w:color w:val="4472C4" w:themeColor="accent1"/>
            <w:sz w:val="22"/>
            <w:szCs w:val="22"/>
          </w:rPr>
          <w:t>Lutter contre la COVID-19</w:t>
        </w:r>
        <w:r w:rsidRPr="0031561E">
          <w:rPr>
            <w:rStyle w:val="Lienhypertexte"/>
            <w:rFonts w:ascii="Verdana" w:hAnsi="Verdana"/>
            <w:sz w:val="22"/>
            <w:szCs w:val="22"/>
          </w:rPr>
          <w:t xml:space="preserve"> </w:t>
        </w:r>
      </w:hyperlink>
      <w:r w:rsidRPr="0031561E">
        <w:rPr>
          <w:rFonts w:ascii="Verdana" w:hAnsi="Verdana"/>
          <w:sz w:val="22"/>
          <w:szCs w:val="22"/>
        </w:rPr>
        <w:t xml:space="preserve">sur notre site web. </w:t>
      </w:r>
    </w:p>
    <w:p w14:paraId="1FECDF53" w14:textId="7E011458" w:rsidR="0031561E" w:rsidRPr="00A1146A" w:rsidRDefault="0031561E" w:rsidP="0031561E">
      <w:pPr>
        <w:pStyle w:val="Pa5"/>
        <w:spacing w:after="120" w:line="240" w:lineRule="auto"/>
        <w:rPr>
          <w:rFonts w:ascii="Verdana" w:hAnsi="Verdana"/>
          <w:sz w:val="22"/>
          <w:szCs w:val="22"/>
        </w:rPr>
      </w:pPr>
      <w:r w:rsidRPr="0031561E">
        <w:rPr>
          <w:rFonts w:ascii="Verdana" w:hAnsi="Verdana"/>
          <w:sz w:val="22"/>
          <w:szCs w:val="22"/>
        </w:rPr>
        <w:lastRenderedPageBreak/>
        <w:t>Nous vous rappelons qu’aucun renseignement personnel ne sera divulgué afin de respecter la vie privée des personnes concernées.</w:t>
      </w:r>
    </w:p>
    <w:p w14:paraId="63C581C5" w14:textId="77777777" w:rsidR="0031358E" w:rsidRPr="002E44DC" w:rsidRDefault="0031561E">
      <w:pPr>
        <w:rPr>
          <w:lang w:val="fr-CA"/>
        </w:rPr>
      </w:pPr>
    </w:p>
    <w:sectPr w:rsidR="0031358E" w:rsidRPr="002E44DC" w:rsidSect="0031561E">
      <w:headerReference w:type="default" r:id="rId40"/>
      <w:headerReference w:type="first" r:id="rId41"/>
      <w:pgSz w:w="12240" w:h="15840" w:code="1"/>
      <w:pgMar w:top="851" w:right="1440" w:bottom="1276" w:left="1440" w:header="720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55C1A" w14:textId="77777777" w:rsidR="002E44DC" w:rsidRDefault="002E44DC" w:rsidP="002E44DC">
      <w:r>
        <w:separator/>
      </w:r>
    </w:p>
  </w:endnote>
  <w:endnote w:type="continuationSeparator" w:id="0">
    <w:p w14:paraId="54CA42E2" w14:textId="77777777" w:rsidR="002E44DC" w:rsidRDefault="002E44DC" w:rsidP="002E4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FB42C" w14:textId="77777777" w:rsidR="002E44DC" w:rsidRDefault="002E44DC" w:rsidP="002E44DC">
      <w:r>
        <w:separator/>
      </w:r>
    </w:p>
  </w:footnote>
  <w:footnote w:type="continuationSeparator" w:id="0">
    <w:p w14:paraId="31350CE3" w14:textId="77777777" w:rsidR="002E44DC" w:rsidRDefault="002E44DC" w:rsidP="002E44DC">
      <w:r>
        <w:continuationSeparator/>
      </w:r>
    </w:p>
  </w:footnote>
  <w:footnote w:id="1">
    <w:p w14:paraId="51AC56C8" w14:textId="77777777" w:rsidR="007F484E" w:rsidRPr="002639E6" w:rsidRDefault="007F484E" w:rsidP="007F484E">
      <w:pPr>
        <w:spacing w:before="100" w:beforeAutospacing="1" w:after="100" w:afterAutospacing="1"/>
        <w:rPr>
          <w:rFonts w:ascii="Verdana" w:hAnsi="Verdana"/>
          <w:sz w:val="12"/>
          <w:szCs w:val="12"/>
          <w:lang w:val="fr-FR" w:eastAsia="fr-CA"/>
        </w:rPr>
      </w:pPr>
      <w:r w:rsidRPr="00A332F4">
        <w:rPr>
          <w:rStyle w:val="Appelnotedebasdep"/>
          <w:rFonts w:ascii="Verdana" w:hAnsi="Verdana"/>
          <w:sz w:val="12"/>
          <w:szCs w:val="12"/>
        </w:rPr>
        <w:footnoteRef/>
      </w:r>
      <w:r w:rsidRPr="004D7C7A">
        <w:rPr>
          <w:rFonts w:ascii="Verdana" w:hAnsi="Verdana"/>
          <w:sz w:val="12"/>
          <w:szCs w:val="12"/>
          <w:lang w:val="fr-CA"/>
        </w:rPr>
        <w:t xml:space="preserve"> </w:t>
      </w:r>
      <w:r w:rsidRPr="002639E6">
        <w:rPr>
          <w:rFonts w:ascii="Verdana" w:hAnsi="Verdana"/>
          <w:sz w:val="12"/>
          <w:szCs w:val="12"/>
          <w:lang w:val="fr-FR" w:eastAsia="fr-CA"/>
        </w:rPr>
        <w:t xml:space="preserve">Le ministère de la Santé tient à jour des définitions de cas pour les cas probables et les cas confirmés. Ces définitions sont disponibles sur le </w:t>
      </w:r>
      <w:hyperlink r:id="rId1" w:history="1">
        <w:r w:rsidRPr="002639E6">
          <w:rPr>
            <w:rFonts w:ascii="Verdana" w:hAnsi="Verdana"/>
            <w:color w:val="0000FF"/>
            <w:sz w:val="12"/>
            <w:szCs w:val="12"/>
            <w:u w:val="single"/>
            <w:lang w:val="fr-FR" w:eastAsia="fr-CA"/>
          </w:rPr>
          <w:t>site Web du ministère de la Santé de l’Ontario</w:t>
        </w:r>
      </w:hyperlink>
      <w:r w:rsidRPr="002639E6">
        <w:rPr>
          <w:rFonts w:ascii="Verdana" w:hAnsi="Verdana"/>
          <w:sz w:val="12"/>
          <w:szCs w:val="12"/>
          <w:lang w:val="fr-FR" w:eastAsia="fr-CA"/>
        </w:rPr>
        <w:t xml:space="preserve"> et sont susceptibles d’être mises à jour. Veuillez</w:t>
      </w:r>
      <w:r>
        <w:rPr>
          <w:rFonts w:ascii="Verdana" w:hAnsi="Verdana"/>
          <w:sz w:val="12"/>
          <w:szCs w:val="12"/>
          <w:lang w:val="fr-FR" w:eastAsia="fr-CA"/>
        </w:rPr>
        <w:t>-</w:t>
      </w:r>
      <w:r w:rsidRPr="002639E6">
        <w:rPr>
          <w:rFonts w:ascii="Verdana" w:hAnsi="Verdana"/>
          <w:sz w:val="12"/>
          <w:szCs w:val="12"/>
          <w:lang w:val="fr-FR" w:eastAsia="fr-CA"/>
        </w:rPr>
        <w:t>vous reporter à ce site pour obtenir la version complète et la plus récente de ces définitions essentielles.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0444" w14:textId="77777777" w:rsidR="00C17D7F" w:rsidRPr="00853C9D" w:rsidRDefault="009E6EB3" w:rsidP="00C17D7F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A0C9F0" wp14:editId="686FD533">
          <wp:simplePos x="0" y="0"/>
          <wp:positionH relativeFrom="column">
            <wp:posOffset>-914400</wp:posOffset>
          </wp:positionH>
          <wp:positionV relativeFrom="page">
            <wp:posOffset>7624</wp:posOffset>
          </wp:positionV>
          <wp:extent cx="7772400" cy="10057618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2F12" w14:textId="77777777" w:rsidR="00C17D7F" w:rsidRDefault="009E6EB3" w:rsidP="00FD22DE">
    <w:pPr>
      <w:pStyle w:val="En-tte"/>
      <w:tabs>
        <w:tab w:val="clear" w:pos="4320"/>
        <w:tab w:val="clear" w:pos="8640"/>
        <w:tab w:val="left" w:pos="254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552FDA4" wp14:editId="7BD93692">
          <wp:simplePos x="0" y="0"/>
          <wp:positionH relativeFrom="column">
            <wp:posOffset>-914400</wp:posOffset>
          </wp:positionH>
          <wp:positionV relativeFrom="page">
            <wp:posOffset>28575</wp:posOffset>
          </wp:positionV>
          <wp:extent cx="8010262" cy="1002030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400377 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554" cy="100244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EC"/>
    <w:multiLevelType w:val="hybridMultilevel"/>
    <w:tmpl w:val="AC9AF9E2"/>
    <w:lvl w:ilvl="0" w:tplc="D85CF2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14A0"/>
    <w:multiLevelType w:val="hybridMultilevel"/>
    <w:tmpl w:val="CF14AD3C"/>
    <w:lvl w:ilvl="0" w:tplc="0C0C0019">
      <w:start w:val="1"/>
      <w:numFmt w:val="lowerLetter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925051"/>
    <w:multiLevelType w:val="hybridMultilevel"/>
    <w:tmpl w:val="FF680678"/>
    <w:lvl w:ilvl="0" w:tplc="0C0C0019">
      <w:start w:val="1"/>
      <w:numFmt w:val="lowerLetter"/>
      <w:lvlText w:val="%1."/>
      <w:lvlJc w:val="left"/>
      <w:pPr>
        <w:ind w:left="1800" w:hanging="360"/>
      </w:p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6E7EA8"/>
    <w:multiLevelType w:val="hybridMultilevel"/>
    <w:tmpl w:val="81D098E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193C33"/>
    <w:multiLevelType w:val="hybridMultilevel"/>
    <w:tmpl w:val="1D5E10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74368"/>
    <w:multiLevelType w:val="hybridMultilevel"/>
    <w:tmpl w:val="35D22E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D4793"/>
    <w:multiLevelType w:val="hybridMultilevel"/>
    <w:tmpl w:val="654A3970"/>
    <w:lvl w:ilvl="0" w:tplc="FC8ADBC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63BA6"/>
    <w:multiLevelType w:val="hybridMultilevel"/>
    <w:tmpl w:val="1C4013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67F9F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F1B2D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74DB1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448AA"/>
    <w:multiLevelType w:val="hybridMultilevel"/>
    <w:tmpl w:val="E1E23238"/>
    <w:lvl w:ilvl="0" w:tplc="0C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65B35C23"/>
    <w:multiLevelType w:val="hybridMultilevel"/>
    <w:tmpl w:val="16669832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881A4A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C0BF6"/>
    <w:multiLevelType w:val="hybridMultilevel"/>
    <w:tmpl w:val="ED56B7DC"/>
    <w:lvl w:ilvl="0" w:tplc="03CA99BA">
      <w:start w:val="1"/>
      <w:numFmt w:val="upperLetter"/>
      <w:lvlText w:val="%1."/>
      <w:lvlJc w:val="left"/>
      <w:pPr>
        <w:ind w:left="1080" w:hanging="360"/>
      </w:pPr>
      <w:rPr>
        <w:rFonts w:cs="Calibri" w:hint="default"/>
        <w:color w:val="000000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097EAF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6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8"/>
  </w:num>
  <w:num w:numId="10">
    <w:abstractNumId w:val="4"/>
  </w:num>
  <w:num w:numId="11">
    <w:abstractNumId w:val="7"/>
  </w:num>
  <w:num w:numId="12">
    <w:abstractNumId w:val="11"/>
  </w:num>
  <w:num w:numId="13">
    <w:abstractNumId w:val="12"/>
  </w:num>
  <w:num w:numId="14">
    <w:abstractNumId w:val="2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4DC"/>
    <w:rsid w:val="00215FAD"/>
    <w:rsid w:val="00267BF2"/>
    <w:rsid w:val="002E44DC"/>
    <w:rsid w:val="0031561E"/>
    <w:rsid w:val="004D7C7A"/>
    <w:rsid w:val="0065131D"/>
    <w:rsid w:val="007F484E"/>
    <w:rsid w:val="00892B00"/>
    <w:rsid w:val="009E6EB3"/>
    <w:rsid w:val="00C06166"/>
    <w:rsid w:val="00D06C04"/>
    <w:rsid w:val="00D26C07"/>
    <w:rsid w:val="00D42267"/>
    <w:rsid w:val="00DD03B4"/>
    <w:rsid w:val="00DF3795"/>
    <w:rsid w:val="00EF3810"/>
    <w:rsid w:val="00F1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9CBE2"/>
  <w15:chartTrackingRefBased/>
  <w15:docId w15:val="{702F040E-E5B3-4E8E-8C2C-7502CB14E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E44D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2E44D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39"/>
    <w:rsid w:val="002E4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44D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A"/>
    </w:rPr>
  </w:style>
  <w:style w:type="character" w:styleId="Lienhypertexte">
    <w:name w:val="Hyperlink"/>
    <w:basedOn w:val="Policepardfaut"/>
    <w:uiPriority w:val="99"/>
    <w:unhideWhenUsed/>
    <w:rsid w:val="002E44DC"/>
    <w:rPr>
      <w:color w:val="0563C1" w:themeColor="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2E44DC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6E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EB3"/>
    <w:rPr>
      <w:rFonts w:ascii="Segoe UI" w:eastAsia="Times New Roman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215FAD"/>
    <w:pPr>
      <w:spacing w:before="100" w:beforeAutospacing="1" w:after="100" w:afterAutospacing="1"/>
    </w:pPr>
    <w:rPr>
      <w:rFonts w:eastAsiaTheme="minorEastAsia"/>
      <w:lang w:val="fr-CA" w:eastAsia="fr-CA"/>
    </w:rPr>
  </w:style>
  <w:style w:type="paragraph" w:customStyle="1" w:styleId="Pa5">
    <w:name w:val="Pa5"/>
    <w:basedOn w:val="Normal"/>
    <w:next w:val="Normal"/>
    <w:uiPriority w:val="99"/>
    <w:rsid w:val="0031561E"/>
    <w:pPr>
      <w:autoSpaceDE w:val="0"/>
      <w:autoSpaceDN w:val="0"/>
      <w:adjustRightInd w:val="0"/>
      <w:spacing w:line="231" w:lineRule="atLeast"/>
    </w:pPr>
    <w:rPr>
      <w:rFonts w:ascii="Raleway" w:eastAsiaTheme="minorHAnsi" w:hAnsi="Raleway" w:cstheme="minorBidi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id-19.ontario.ca/depistage-pour-les-ecoles/" TargetMode="External"/><Relationship Id="rId13" Type="http://schemas.openxmlformats.org/officeDocument/2006/relationships/hyperlink" Target="https://covid19results.ehealthontario.ca:4443/agree" TargetMode="External"/><Relationship Id="rId18" Type="http://schemas.openxmlformats.org/officeDocument/2006/relationships/hyperlink" Target="https://www.who.int/teams/regulation-prequalification/eul/covid-19" TargetMode="External"/><Relationship Id="rId26" Type="http://schemas.openxmlformats.org/officeDocument/2006/relationships/hyperlink" Target="https://www.health.gov.on.ca/fr/pro/programs/publichealth/coronavirus/docs/contact_mngmt/COVID-19_fully_vaccinated_interim_guidance.pdf" TargetMode="External"/><Relationship Id="rId39" Type="http://schemas.openxmlformats.org/officeDocument/2006/relationships/hyperlink" Target="https://csviamonde.ca/parents/infos-covid-19/lutter-contre-la-covid-1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health.gov.on.ca/fr/pro/programs/publichealth/coronavirus/docs/contact_mngmt/COVID-19_fully_vaccinated_interim_guidance.pdf" TargetMode="External"/><Relationship Id="rId34" Type="http://schemas.openxmlformats.org/officeDocument/2006/relationships/hyperlink" Target="https://www.health.gov.on.ca/fr/pro/programs/publichealth/coronavirus/docs/contact_mngmt/COVID-19_fully_vaccinated_interim_guidance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health.gov.on.ca/fr/pro/programs/publichealth/coronavirus/docs/2019_reference_doc_symptoms.pdf" TargetMode="External"/><Relationship Id="rId12" Type="http://schemas.openxmlformats.org/officeDocument/2006/relationships/hyperlink" Target="https://covid-19.ontario.ca/fr/centres-devaluation-de-la-covid-19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health.gov.on.ca/fr/pro/programs/publichealth/coronavirus/docs/2019_testing_clearing_cases_guidance.pdf" TargetMode="External"/><Relationship Id="rId33" Type="http://schemas.openxmlformats.org/officeDocument/2006/relationships/hyperlink" Target="https://www.who.int/teams/regulation-prequalification/eul/covid-19" TargetMode="External"/><Relationship Id="rId38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health.gov.on.ca/fr/pro/programs/publichealth/coronavirus/docs/COVID-19_school_outbreak_guidance.pdf" TargetMode="External"/><Relationship Id="rId20" Type="http://schemas.openxmlformats.org/officeDocument/2006/relationships/hyperlink" Target="https://www.health.gov.on.ca/fr/pro/programs/publichealth/coronavirus/docs/2019_testing_clearing_cases_guidance.pdf" TargetMode="External"/><Relationship Id="rId29" Type="http://schemas.openxmlformats.org/officeDocument/2006/relationships/hyperlink" Target="https://www.health.gov.on.ca/fr/pro/programs/publichealth/coronavirus/docs/contact_mngmt/COVID-19_fully_vaccinated_interim_guidance.pdf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viamonde.ca/fileadmin/user_upload/Passeport_sante-Viamonde_27aout2021.pdf" TargetMode="External"/><Relationship Id="rId24" Type="http://schemas.openxmlformats.org/officeDocument/2006/relationships/hyperlink" Target="https://www.health.gov.on.ca/fr/pro/programs/publichealth/coronavirus/docs/contact_mngmt/COVID-19_fully_vaccinated_interim_guidance.pdf" TargetMode="External"/><Relationship Id="rId32" Type="http://schemas.openxmlformats.org/officeDocument/2006/relationships/hyperlink" Target="https://www.health.gov.on.ca/fr/pro/programs/publichealth/coronavirus/docs/2019_testing_guidance.pdf" TargetMode="External"/><Relationship Id="rId37" Type="http://schemas.openxmlformats.org/officeDocument/2006/relationships/hyperlink" Target="https://www.health.gov.on.ca/fr/pro/programs/publichealth/coronavirus/docs/2019_testing_guidance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csviamonde.ca/parents/infos-covid-19/bureaux-de-sante-publique/" TargetMode="External"/><Relationship Id="rId23" Type="http://schemas.openxmlformats.org/officeDocument/2006/relationships/hyperlink" Target="https://www.who.int/teams/regulation-prequalification/eul/covid-19" TargetMode="External"/><Relationship Id="rId28" Type="http://schemas.openxmlformats.org/officeDocument/2006/relationships/hyperlink" Target="https://www.who.int/teams/regulation-prequalification/eul/covid-19" TargetMode="External"/><Relationship Id="rId36" Type="http://schemas.openxmlformats.org/officeDocument/2006/relationships/hyperlink" Target="https://www.health.gov.on.ca/fr/pro/programs/publichealth/coronavirus/docs/contact_mngmt/COVID-19_fully_vaccinated_interim_guidance.pdf" TargetMode="External"/><Relationship Id="rId10" Type="http://schemas.openxmlformats.org/officeDocument/2006/relationships/hyperlink" Target="https://covid-19.ontario.ca/depistage-pour-les-ecoles/" TargetMode="External"/><Relationship Id="rId19" Type="http://schemas.openxmlformats.org/officeDocument/2006/relationships/hyperlink" Target="https://www.health.gov.on.ca/fr/pro/programs/publichealth/coronavirus/docs/contact_mngmt/COVID-19_fully_vaccinated_interim_guidance.pdf" TargetMode="External"/><Relationship Id="rId31" Type="http://schemas.openxmlformats.org/officeDocument/2006/relationships/hyperlink" Target="https://www.health.gov.on.ca/fr/pro/programs/publichealth/coronavirus/docs/contact_mngmt/COVID-19_fully_vaccinated_interim_guidanc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viamonde.ca/fileadmin/user_upload/Passeport_sante-Viamonde_27aout2021.pdf" TargetMode="External"/><Relationship Id="rId14" Type="http://schemas.openxmlformats.org/officeDocument/2006/relationships/hyperlink" Target="https://www.ontario.ca/fr/page/freinez-la-propagation-de-la-covid-19" TargetMode="External"/><Relationship Id="rId22" Type="http://schemas.openxmlformats.org/officeDocument/2006/relationships/hyperlink" Target="https://www.health.gov.on.ca/fr/pro/programs/publichealth/coronavirus/docs/2019_testing_guidance.pdf" TargetMode="External"/><Relationship Id="rId27" Type="http://schemas.openxmlformats.org/officeDocument/2006/relationships/hyperlink" Target="https://www.health.gov.on.ca/fr/pro/programs/publichealth/coronavirus/docs/2019_testing_guidance.pdf" TargetMode="External"/><Relationship Id="rId30" Type="http://schemas.openxmlformats.org/officeDocument/2006/relationships/hyperlink" Target="https://www.health.gov.on.ca/fr/pro/programs/publichealth/coronavirus/docs/2019_testing_clearing_cases_guidance.pdf" TargetMode="External"/><Relationship Id="rId35" Type="http://schemas.openxmlformats.org/officeDocument/2006/relationships/hyperlink" Target="https://www.health.gov.on.ca/fr/pro/programs/publichealth/coronavirus/docs/2019_testing_clearing_cases_guidance.pdf" TargetMode="External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gov.on.ca/fr/pro/programs/publichealth/coronavirus/2019_guidance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1511</Words>
  <Characters>8313</Characters>
  <Application>Microsoft Office Word</Application>
  <DocSecurity>0</DocSecurity>
  <Lines>69</Lines>
  <Paragraphs>19</Paragraphs>
  <ScaleCrop>false</ScaleCrop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Aubert, Didier</dc:creator>
  <cp:keywords/>
  <dc:description/>
  <cp:lastModifiedBy>Pinheiro, Jannick</cp:lastModifiedBy>
  <cp:revision>2</cp:revision>
  <cp:lastPrinted>2020-11-10T18:33:00Z</cp:lastPrinted>
  <dcterms:created xsi:type="dcterms:W3CDTF">2021-09-03T14:43:00Z</dcterms:created>
  <dcterms:modified xsi:type="dcterms:W3CDTF">2021-09-03T14:43:00Z</dcterms:modified>
</cp:coreProperties>
</file>